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50F46" w14:textId="77777777" w:rsidR="00B431F0" w:rsidRDefault="00B431F0">
      <w:pPr>
        <w:spacing w:beforeLines="50" w:before="163" w:afterLines="50" w:after="163" w:line="240" w:lineRule="auto"/>
        <w:ind w:firstLineChars="0" w:firstLine="0"/>
        <w:jc w:val="both"/>
        <w:rPr>
          <w:rFonts w:ascii="华文楷体" w:eastAsia="华文楷体" w:hAnsi="华文楷体"/>
          <w:sz w:val="32"/>
          <w:szCs w:val="32"/>
        </w:rPr>
      </w:pPr>
    </w:p>
    <w:p w14:paraId="6A77CF5D" w14:textId="77777777" w:rsidR="00B431F0" w:rsidRDefault="00B431F0">
      <w:pPr>
        <w:spacing w:beforeLines="50" w:before="163" w:afterLines="50" w:after="163" w:line="240" w:lineRule="auto"/>
        <w:ind w:firstLineChars="0" w:firstLine="0"/>
        <w:jc w:val="both"/>
        <w:rPr>
          <w:rFonts w:ascii="华文楷体" w:eastAsia="华文楷体" w:hAnsi="华文楷体"/>
          <w:sz w:val="32"/>
          <w:szCs w:val="32"/>
        </w:rPr>
      </w:pPr>
    </w:p>
    <w:p w14:paraId="1587F127" w14:textId="47F90369" w:rsidR="00C90C15" w:rsidRPr="00C90C15" w:rsidRDefault="00C90C15" w:rsidP="00C90C15">
      <w:pPr>
        <w:spacing w:beforeLines="50" w:before="163" w:afterLines="50" w:after="163" w:line="240" w:lineRule="auto"/>
        <w:ind w:firstLineChars="0" w:firstLine="0"/>
        <w:jc w:val="center"/>
        <w:rPr>
          <w:rFonts w:ascii="华文楷体" w:eastAsia="华文楷体" w:hAnsi="华文楷体"/>
          <w:b/>
          <w:sz w:val="52"/>
          <w:szCs w:val="52"/>
        </w:rPr>
      </w:pPr>
      <w:r w:rsidRPr="00C90C15">
        <w:rPr>
          <w:rFonts w:ascii="华文楷体" w:eastAsia="华文楷体" w:hAnsi="华文楷体" w:hint="eastAsia"/>
          <w:b/>
          <w:sz w:val="52"/>
          <w:szCs w:val="52"/>
        </w:rPr>
        <w:t>芜湖</w:t>
      </w:r>
      <w:proofErr w:type="gramStart"/>
      <w:r w:rsidRPr="00C90C15">
        <w:rPr>
          <w:rFonts w:ascii="华文楷体" w:eastAsia="华文楷体" w:hAnsi="华文楷体" w:hint="eastAsia"/>
          <w:b/>
          <w:sz w:val="52"/>
          <w:szCs w:val="52"/>
        </w:rPr>
        <w:t>新兴铸</w:t>
      </w:r>
      <w:proofErr w:type="gramEnd"/>
      <w:r w:rsidRPr="00C90C15">
        <w:rPr>
          <w:rFonts w:ascii="华文楷体" w:eastAsia="华文楷体" w:hAnsi="华文楷体" w:hint="eastAsia"/>
          <w:b/>
          <w:sz w:val="52"/>
          <w:szCs w:val="52"/>
        </w:rPr>
        <w:t>管弋江老厂区12#地块</w:t>
      </w:r>
    </w:p>
    <w:p w14:paraId="6B666E9D" w14:textId="1B3B2B4E" w:rsidR="00B431F0" w:rsidRPr="00C90C15" w:rsidRDefault="00C90C15" w:rsidP="00C90C15">
      <w:pPr>
        <w:spacing w:beforeLines="50" w:before="163" w:afterLines="50" w:after="163" w:line="240" w:lineRule="auto"/>
        <w:ind w:firstLineChars="0" w:firstLine="0"/>
        <w:jc w:val="center"/>
        <w:rPr>
          <w:rFonts w:ascii="华文楷体" w:eastAsia="华文楷体" w:hAnsi="华文楷体"/>
          <w:sz w:val="44"/>
          <w:szCs w:val="32"/>
        </w:rPr>
      </w:pPr>
      <w:r w:rsidRPr="00C90C15">
        <w:rPr>
          <w:rFonts w:ascii="华文楷体" w:eastAsia="华文楷体" w:hAnsi="华文楷体" w:hint="eastAsia"/>
          <w:b/>
          <w:sz w:val="52"/>
          <w:szCs w:val="52"/>
        </w:rPr>
        <w:t>土壤污染风险评估报告</w:t>
      </w:r>
    </w:p>
    <w:p w14:paraId="53AE64BC" w14:textId="77777777" w:rsidR="00B431F0" w:rsidRDefault="00507B22">
      <w:pPr>
        <w:spacing w:beforeLines="50" w:before="163" w:afterLines="50" w:after="163" w:line="240" w:lineRule="auto"/>
        <w:ind w:firstLineChars="0" w:firstLine="0"/>
        <w:jc w:val="center"/>
        <w:rPr>
          <w:rFonts w:ascii="华文楷体" w:eastAsia="华文楷体" w:hAnsi="华文楷体"/>
          <w:sz w:val="32"/>
          <w:szCs w:val="32"/>
        </w:rPr>
      </w:pPr>
      <w:r>
        <w:rPr>
          <w:rFonts w:ascii="华文楷体" w:eastAsia="华文楷体" w:hAnsi="华文楷体" w:hint="eastAsia"/>
          <w:sz w:val="44"/>
          <w:szCs w:val="32"/>
        </w:rPr>
        <w:t>（公示本）</w:t>
      </w:r>
    </w:p>
    <w:p w14:paraId="645B691F" w14:textId="77777777" w:rsidR="00B431F0" w:rsidRDefault="00B431F0">
      <w:pPr>
        <w:spacing w:beforeLines="50" w:before="163" w:afterLines="50" w:after="163" w:line="240" w:lineRule="auto"/>
        <w:ind w:firstLineChars="0" w:firstLine="0"/>
        <w:jc w:val="both"/>
        <w:rPr>
          <w:rFonts w:ascii="华文楷体" w:eastAsia="华文楷体" w:hAnsi="华文楷体"/>
          <w:sz w:val="32"/>
          <w:szCs w:val="32"/>
        </w:rPr>
      </w:pPr>
    </w:p>
    <w:p w14:paraId="21DCA886" w14:textId="77777777" w:rsidR="00B431F0" w:rsidRDefault="00B431F0">
      <w:pPr>
        <w:spacing w:beforeLines="50" w:before="163" w:afterLines="50" w:after="163" w:line="240" w:lineRule="auto"/>
        <w:ind w:firstLineChars="0" w:firstLine="0"/>
        <w:jc w:val="both"/>
        <w:rPr>
          <w:rFonts w:ascii="华文楷体" w:eastAsia="华文楷体" w:hAnsi="华文楷体"/>
          <w:sz w:val="32"/>
          <w:szCs w:val="32"/>
        </w:rPr>
      </w:pPr>
    </w:p>
    <w:p w14:paraId="2939E37D" w14:textId="140B2343" w:rsidR="00B431F0" w:rsidRDefault="00B431F0">
      <w:pPr>
        <w:spacing w:beforeLines="50" w:before="163" w:afterLines="50" w:after="163" w:line="240" w:lineRule="auto"/>
        <w:ind w:firstLineChars="0" w:firstLine="0"/>
        <w:jc w:val="both"/>
        <w:rPr>
          <w:rFonts w:ascii="华文楷体" w:eastAsia="华文楷体" w:hAnsi="华文楷体"/>
          <w:sz w:val="32"/>
          <w:szCs w:val="32"/>
        </w:rPr>
      </w:pPr>
    </w:p>
    <w:p w14:paraId="0A546E01" w14:textId="640CCA5E" w:rsidR="007E208F" w:rsidRDefault="007E208F">
      <w:pPr>
        <w:spacing w:beforeLines="50" w:before="163" w:afterLines="50" w:after="163" w:line="240" w:lineRule="auto"/>
        <w:ind w:firstLineChars="0" w:firstLine="0"/>
        <w:jc w:val="both"/>
        <w:rPr>
          <w:rFonts w:ascii="华文楷体" w:eastAsia="华文楷体" w:hAnsi="华文楷体"/>
          <w:sz w:val="32"/>
          <w:szCs w:val="32"/>
        </w:rPr>
      </w:pPr>
    </w:p>
    <w:p w14:paraId="59BC6638" w14:textId="2BAA45AA" w:rsidR="007E208F" w:rsidRDefault="007E208F">
      <w:pPr>
        <w:spacing w:beforeLines="50" w:before="163" w:afterLines="50" w:after="163" w:line="240" w:lineRule="auto"/>
        <w:ind w:firstLineChars="0" w:firstLine="0"/>
        <w:jc w:val="both"/>
        <w:rPr>
          <w:rFonts w:ascii="华文楷体" w:eastAsia="华文楷体" w:hAnsi="华文楷体"/>
          <w:sz w:val="32"/>
          <w:szCs w:val="32"/>
        </w:rPr>
      </w:pPr>
    </w:p>
    <w:p w14:paraId="3E3F63FF" w14:textId="77777777" w:rsidR="007E208F" w:rsidRDefault="007E208F">
      <w:pPr>
        <w:spacing w:beforeLines="50" w:before="163" w:afterLines="50" w:after="163" w:line="240" w:lineRule="auto"/>
        <w:ind w:firstLineChars="0" w:firstLine="0"/>
        <w:jc w:val="both"/>
        <w:rPr>
          <w:rFonts w:ascii="华文楷体" w:eastAsia="华文楷体" w:hAnsi="华文楷体"/>
          <w:sz w:val="32"/>
          <w:szCs w:val="32"/>
        </w:rPr>
      </w:pPr>
    </w:p>
    <w:p w14:paraId="2CD8FED7" w14:textId="77777777" w:rsidR="00B431F0" w:rsidRDefault="00B431F0">
      <w:pPr>
        <w:spacing w:beforeLines="50" w:before="163" w:afterLines="50" w:after="163" w:line="240" w:lineRule="auto"/>
        <w:ind w:firstLineChars="0" w:firstLine="0"/>
        <w:jc w:val="both"/>
        <w:rPr>
          <w:rFonts w:ascii="华文楷体" w:eastAsia="华文楷体" w:hAnsi="华文楷体"/>
          <w:sz w:val="32"/>
          <w:szCs w:val="32"/>
        </w:rPr>
      </w:pPr>
    </w:p>
    <w:p w14:paraId="1BB53C13" w14:textId="77777777" w:rsidR="00B431F0" w:rsidRDefault="00B431F0">
      <w:pPr>
        <w:spacing w:beforeLines="50" w:before="163" w:afterLines="50" w:after="163" w:line="240" w:lineRule="auto"/>
        <w:ind w:firstLineChars="0" w:firstLine="0"/>
        <w:jc w:val="both"/>
        <w:rPr>
          <w:rFonts w:ascii="华文楷体" w:eastAsia="华文楷体" w:hAnsi="华文楷体"/>
          <w:sz w:val="32"/>
          <w:szCs w:val="32"/>
        </w:rPr>
      </w:pPr>
    </w:p>
    <w:p w14:paraId="12CE60B3" w14:textId="2CF71676" w:rsidR="00B431F0" w:rsidRPr="00ED5582" w:rsidRDefault="00507B22">
      <w:pPr>
        <w:spacing w:beforeLines="50" w:before="163" w:afterLines="50" w:after="163"/>
        <w:ind w:firstLineChars="0" w:firstLine="0"/>
        <w:jc w:val="center"/>
        <w:rPr>
          <w:rFonts w:ascii="华文楷体" w:eastAsia="华文楷体" w:hAnsi="华文楷体"/>
          <w:b/>
          <w:sz w:val="32"/>
          <w:szCs w:val="32"/>
        </w:rPr>
      </w:pPr>
      <w:r w:rsidRPr="00AB2326">
        <w:rPr>
          <w:rFonts w:ascii="华文楷体" w:eastAsia="华文楷体" w:hAnsi="华文楷体" w:hint="eastAsia"/>
          <w:b/>
          <w:sz w:val="32"/>
          <w:szCs w:val="32"/>
        </w:rPr>
        <w:t>委托单位</w:t>
      </w:r>
      <w:r w:rsidRPr="00AB2326">
        <w:rPr>
          <w:rFonts w:ascii="华文楷体" w:eastAsia="华文楷体" w:hAnsi="华文楷体"/>
          <w:b/>
          <w:sz w:val="32"/>
          <w:szCs w:val="32"/>
        </w:rPr>
        <w:t>：</w:t>
      </w:r>
      <w:r w:rsidR="00ED5582" w:rsidRPr="00ED5582">
        <w:rPr>
          <w:rFonts w:ascii="华文楷体" w:eastAsia="华文楷体" w:hAnsi="华文楷体" w:hint="eastAsia"/>
          <w:b/>
          <w:sz w:val="32"/>
          <w:szCs w:val="32"/>
        </w:rPr>
        <w:t>芜湖新兴投资开发有限责任公司</w:t>
      </w:r>
    </w:p>
    <w:p w14:paraId="1260648F" w14:textId="7304EF15" w:rsidR="00B431F0" w:rsidRPr="00AB2326" w:rsidRDefault="00507B22">
      <w:pPr>
        <w:spacing w:beforeLines="50" w:before="163" w:afterLines="50" w:after="163"/>
        <w:ind w:firstLineChars="0" w:firstLine="0"/>
        <w:jc w:val="center"/>
        <w:rPr>
          <w:rFonts w:ascii="华文楷体" w:eastAsia="华文楷体" w:hAnsi="华文楷体"/>
          <w:b/>
          <w:sz w:val="32"/>
          <w:szCs w:val="32"/>
        </w:rPr>
      </w:pPr>
      <w:r w:rsidRPr="00AB2326">
        <w:rPr>
          <w:rFonts w:ascii="华文楷体" w:eastAsia="华文楷体" w:hAnsi="华文楷体" w:hint="eastAsia"/>
          <w:b/>
          <w:sz w:val="32"/>
          <w:szCs w:val="32"/>
        </w:rPr>
        <w:t>编制单位</w:t>
      </w:r>
      <w:r w:rsidRPr="00AB2326">
        <w:rPr>
          <w:rFonts w:ascii="华文楷体" w:eastAsia="华文楷体" w:hAnsi="华文楷体"/>
          <w:b/>
          <w:sz w:val="32"/>
          <w:szCs w:val="32"/>
        </w:rPr>
        <w:t>：</w:t>
      </w:r>
      <w:r w:rsidRPr="00AB2326">
        <w:rPr>
          <w:rFonts w:ascii="华文楷体" w:eastAsia="华文楷体" w:hAnsi="华文楷体" w:hint="eastAsia"/>
          <w:b/>
          <w:sz w:val="32"/>
          <w:szCs w:val="32"/>
        </w:rPr>
        <w:t>南京大学环境规划设计研究院</w:t>
      </w:r>
      <w:r w:rsidR="00AB2326" w:rsidRPr="00AB2326">
        <w:rPr>
          <w:rFonts w:ascii="华文楷体" w:eastAsia="华文楷体" w:hAnsi="华文楷体" w:hint="eastAsia"/>
          <w:b/>
          <w:sz w:val="32"/>
          <w:szCs w:val="32"/>
        </w:rPr>
        <w:t>集团</w:t>
      </w:r>
      <w:r w:rsidRPr="00AB2326">
        <w:rPr>
          <w:rFonts w:ascii="华文楷体" w:eastAsia="华文楷体" w:hAnsi="华文楷体" w:hint="eastAsia"/>
          <w:b/>
          <w:sz w:val="32"/>
          <w:szCs w:val="32"/>
        </w:rPr>
        <w:t>股份公司</w:t>
      </w:r>
    </w:p>
    <w:p w14:paraId="16FE77E7" w14:textId="35AA164E" w:rsidR="00B431F0" w:rsidRPr="00AB2326" w:rsidRDefault="00507B22">
      <w:pPr>
        <w:spacing w:beforeLines="50" w:before="163" w:afterLines="50" w:after="163"/>
        <w:ind w:firstLineChars="0" w:firstLine="0"/>
        <w:jc w:val="center"/>
        <w:rPr>
          <w:b/>
          <w:sz w:val="22"/>
          <w:szCs w:val="22"/>
        </w:rPr>
      </w:pPr>
      <w:r w:rsidRPr="00AB2326">
        <w:rPr>
          <w:rFonts w:ascii="华文楷体" w:eastAsia="华文楷体" w:hAnsi="华文楷体" w:hint="eastAsia"/>
          <w:b/>
          <w:sz w:val="32"/>
          <w:szCs w:val="32"/>
        </w:rPr>
        <w:t>二○</w:t>
      </w:r>
      <w:r w:rsidR="00BD0D27" w:rsidRPr="00AB2326">
        <w:rPr>
          <w:rFonts w:ascii="华文楷体" w:eastAsia="华文楷体" w:hAnsi="华文楷体" w:hint="eastAsia"/>
          <w:b/>
          <w:sz w:val="32"/>
          <w:szCs w:val="32"/>
        </w:rPr>
        <w:t>二</w:t>
      </w:r>
      <w:r w:rsidR="003129A7" w:rsidRPr="00AB2326">
        <w:rPr>
          <w:rFonts w:ascii="华文楷体" w:eastAsia="华文楷体" w:hAnsi="华文楷体" w:hint="eastAsia"/>
          <w:b/>
          <w:sz w:val="32"/>
          <w:szCs w:val="32"/>
        </w:rPr>
        <w:t>一</w:t>
      </w:r>
      <w:r w:rsidR="00BD0D27" w:rsidRPr="00AB2326">
        <w:rPr>
          <w:rFonts w:ascii="华文楷体" w:eastAsia="华文楷体" w:hAnsi="华文楷体" w:hint="eastAsia"/>
          <w:b/>
          <w:sz w:val="32"/>
          <w:szCs w:val="32"/>
        </w:rPr>
        <w:t>年</w:t>
      </w:r>
      <w:r w:rsidR="00C90C15">
        <w:rPr>
          <w:rFonts w:ascii="华文楷体" w:eastAsia="华文楷体" w:hAnsi="华文楷体" w:hint="eastAsia"/>
          <w:b/>
          <w:sz w:val="32"/>
          <w:szCs w:val="32"/>
        </w:rPr>
        <w:t>十</w:t>
      </w:r>
      <w:r w:rsidRPr="00AB2326">
        <w:rPr>
          <w:rFonts w:ascii="华文楷体" w:eastAsia="华文楷体" w:hAnsi="华文楷体" w:hint="eastAsia"/>
          <w:b/>
          <w:sz w:val="32"/>
          <w:szCs w:val="32"/>
        </w:rPr>
        <w:t>月</w:t>
      </w:r>
    </w:p>
    <w:p w14:paraId="3B4A8401" w14:textId="77777777" w:rsidR="00B431F0" w:rsidRDefault="00B431F0">
      <w:pPr>
        <w:ind w:firstLine="480"/>
        <w:jc w:val="both"/>
      </w:pPr>
    </w:p>
    <w:p w14:paraId="34B6DED9" w14:textId="77777777" w:rsidR="00B431F0" w:rsidRDefault="00B431F0">
      <w:pPr>
        <w:ind w:firstLine="480"/>
        <w:jc w:val="both"/>
        <w:sectPr w:rsidR="00B431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upperRoman" w:start="1"/>
          <w:cols w:space="425"/>
          <w:titlePg/>
          <w:docGrid w:type="lines" w:linePitch="326"/>
        </w:sectPr>
      </w:pPr>
    </w:p>
    <w:p w14:paraId="6690056B" w14:textId="77777777" w:rsidR="00B431F0" w:rsidRDefault="00507B22">
      <w:pPr>
        <w:spacing w:beforeLines="100" w:before="326" w:afterLines="100" w:after="326" w:line="240" w:lineRule="auto"/>
        <w:ind w:firstLineChars="0" w:firstLine="0"/>
        <w:jc w:val="center"/>
        <w:rPr>
          <w:rFonts w:ascii="仿宋_GB2312" w:hAnsi="宋体" w:cs="Times New Roman"/>
          <w:b/>
          <w:kern w:val="0"/>
          <w:sz w:val="44"/>
          <w:szCs w:val="44"/>
        </w:rPr>
      </w:pPr>
      <w:bookmarkStart w:id="6" w:name="_Toc6253516"/>
      <w:r>
        <w:rPr>
          <w:rFonts w:ascii="仿宋_GB2312" w:hAnsi="宋体" w:cs="Times New Roman" w:hint="eastAsia"/>
          <w:b/>
          <w:kern w:val="0"/>
          <w:sz w:val="44"/>
          <w:szCs w:val="44"/>
        </w:rPr>
        <w:lastRenderedPageBreak/>
        <w:t>保 密 声 明</w:t>
      </w:r>
    </w:p>
    <w:p w14:paraId="3E2CCADD" w14:textId="77777777" w:rsidR="00B431F0" w:rsidRDefault="00507B22">
      <w:pPr>
        <w:spacing w:beforeLines="100" w:before="326" w:afterLines="100" w:after="326" w:line="240" w:lineRule="auto"/>
        <w:ind w:firstLineChars="0" w:firstLine="600"/>
        <w:rPr>
          <w:rFonts w:ascii="仿宋_GB2312" w:hAnsi="宋体" w:cs="Times New Roman"/>
          <w:kern w:val="0"/>
          <w:sz w:val="30"/>
          <w:szCs w:val="30"/>
        </w:rPr>
      </w:pPr>
      <w:r>
        <w:rPr>
          <w:rFonts w:ascii="仿宋_GB2312" w:hAnsi="宋体" w:cs="Times New Roman" w:hint="eastAsia"/>
          <w:kern w:val="0"/>
          <w:sz w:val="30"/>
          <w:szCs w:val="30"/>
        </w:rPr>
        <w:t>项目委托方和受托方为该项目技术资料、图件、数据等资料的责任方，双方均负有保密义务；未经双方许可，不得向第三方提供本报告的相关技术资料与数据。</w:t>
      </w:r>
    </w:p>
    <w:p w14:paraId="576F56D4" w14:textId="77777777" w:rsidR="00B431F0" w:rsidRDefault="00B431F0">
      <w:pPr>
        <w:spacing w:beforeLines="100" w:before="326" w:afterLines="100" w:after="326" w:line="240" w:lineRule="auto"/>
        <w:ind w:firstLineChars="0" w:firstLine="560"/>
        <w:jc w:val="right"/>
        <w:rPr>
          <w:rFonts w:ascii="宋体" w:eastAsia="宋体" w:hAnsi="宋体" w:cs="Times New Roman"/>
          <w:kern w:val="0"/>
          <w:sz w:val="28"/>
          <w:szCs w:val="28"/>
        </w:rPr>
      </w:pPr>
    </w:p>
    <w:p w14:paraId="6562D4FC" w14:textId="77777777" w:rsidR="00B431F0" w:rsidRDefault="00B431F0">
      <w:pPr>
        <w:spacing w:beforeLines="100" w:before="326" w:afterLines="100" w:after="326" w:line="240" w:lineRule="auto"/>
        <w:ind w:firstLineChars="0" w:firstLine="560"/>
        <w:jc w:val="right"/>
        <w:rPr>
          <w:rFonts w:ascii="宋体" w:eastAsia="宋体" w:hAnsi="宋体" w:cs="Times New Roman"/>
          <w:kern w:val="0"/>
          <w:sz w:val="28"/>
          <w:szCs w:val="28"/>
        </w:rPr>
      </w:pPr>
    </w:p>
    <w:p w14:paraId="1B91BCD0" w14:textId="77777777" w:rsidR="00B431F0" w:rsidRDefault="00B431F0">
      <w:pPr>
        <w:spacing w:beforeLines="100" w:before="326" w:afterLines="100" w:after="326" w:line="240" w:lineRule="auto"/>
        <w:ind w:firstLineChars="0" w:firstLine="560"/>
        <w:jc w:val="right"/>
        <w:rPr>
          <w:rFonts w:ascii="宋体" w:eastAsia="宋体" w:hAnsi="宋体" w:cs="Times New Roman"/>
          <w:kern w:val="0"/>
          <w:sz w:val="28"/>
          <w:szCs w:val="28"/>
        </w:rPr>
      </w:pPr>
    </w:p>
    <w:p w14:paraId="4105354E" w14:textId="77777777" w:rsidR="00B431F0" w:rsidRDefault="00B431F0">
      <w:pPr>
        <w:spacing w:beforeLines="50" w:before="163" w:afterLines="50" w:after="163" w:line="360" w:lineRule="auto"/>
        <w:ind w:firstLineChars="0" w:firstLine="600"/>
        <w:jc w:val="right"/>
        <w:rPr>
          <w:rFonts w:ascii="宋体" w:eastAsia="宋体" w:hAnsi="宋体" w:cs="Times New Roman"/>
          <w:kern w:val="0"/>
          <w:sz w:val="30"/>
          <w:szCs w:val="30"/>
        </w:rPr>
      </w:pPr>
    </w:p>
    <w:p w14:paraId="7FDABE95" w14:textId="20EC144A" w:rsidR="00B431F0" w:rsidRDefault="00B431F0">
      <w:pPr>
        <w:spacing w:beforeLines="50" w:before="163" w:afterLines="50" w:after="163" w:line="360" w:lineRule="auto"/>
        <w:ind w:firstLineChars="0" w:firstLine="560"/>
        <w:jc w:val="right"/>
        <w:rPr>
          <w:rFonts w:ascii="宋体" w:eastAsia="宋体" w:hAnsi="宋体" w:cs="Times New Roman"/>
          <w:kern w:val="0"/>
          <w:sz w:val="28"/>
          <w:szCs w:val="30"/>
        </w:rPr>
      </w:pPr>
    </w:p>
    <w:p w14:paraId="1BD32EE1" w14:textId="0FBA38F8" w:rsidR="007E208F" w:rsidRDefault="007E208F">
      <w:pPr>
        <w:spacing w:beforeLines="50" w:before="163" w:afterLines="50" w:after="163" w:line="360" w:lineRule="auto"/>
        <w:ind w:firstLineChars="0" w:firstLine="560"/>
        <w:jc w:val="right"/>
        <w:rPr>
          <w:rFonts w:ascii="宋体" w:eastAsia="宋体" w:hAnsi="宋体" w:cs="Times New Roman"/>
          <w:kern w:val="0"/>
          <w:sz w:val="28"/>
          <w:szCs w:val="30"/>
        </w:rPr>
      </w:pPr>
    </w:p>
    <w:p w14:paraId="762843A7" w14:textId="01B85B67" w:rsidR="007E208F" w:rsidRDefault="007E208F">
      <w:pPr>
        <w:spacing w:beforeLines="50" w:before="163" w:afterLines="50" w:after="163" w:line="360" w:lineRule="auto"/>
        <w:ind w:firstLineChars="0" w:firstLine="560"/>
        <w:jc w:val="right"/>
        <w:rPr>
          <w:rFonts w:ascii="宋体" w:eastAsia="宋体" w:hAnsi="宋体" w:cs="Times New Roman"/>
          <w:kern w:val="0"/>
          <w:sz w:val="28"/>
          <w:szCs w:val="30"/>
        </w:rPr>
      </w:pPr>
    </w:p>
    <w:p w14:paraId="18972A1B" w14:textId="77777777" w:rsidR="007E208F" w:rsidRDefault="007E208F">
      <w:pPr>
        <w:spacing w:beforeLines="50" w:before="163" w:afterLines="50" w:after="163" w:line="360" w:lineRule="auto"/>
        <w:ind w:firstLineChars="0" w:firstLine="560"/>
        <w:jc w:val="right"/>
        <w:rPr>
          <w:rFonts w:ascii="宋体" w:eastAsia="宋体" w:hAnsi="宋体" w:cs="Times New Roman"/>
          <w:kern w:val="0"/>
          <w:sz w:val="28"/>
          <w:szCs w:val="30"/>
        </w:rPr>
      </w:pPr>
    </w:p>
    <w:p w14:paraId="05CE64C0" w14:textId="77777777" w:rsidR="00B431F0" w:rsidRDefault="00B431F0">
      <w:pPr>
        <w:spacing w:beforeLines="50" w:before="163" w:afterLines="50" w:after="163" w:line="360" w:lineRule="auto"/>
        <w:ind w:firstLineChars="0" w:firstLine="560"/>
        <w:jc w:val="right"/>
        <w:rPr>
          <w:rFonts w:ascii="宋体" w:eastAsia="宋体" w:hAnsi="宋体" w:cs="Times New Roman"/>
          <w:kern w:val="0"/>
          <w:sz w:val="28"/>
          <w:szCs w:val="30"/>
        </w:rPr>
      </w:pPr>
    </w:p>
    <w:p w14:paraId="59FBCEB9" w14:textId="61608C0F" w:rsidR="00B431F0" w:rsidRDefault="00507B22">
      <w:pPr>
        <w:spacing w:beforeLines="50" w:before="163" w:afterLines="50" w:after="163" w:line="360" w:lineRule="auto"/>
        <w:ind w:firstLineChars="0" w:firstLine="560"/>
        <w:jc w:val="right"/>
        <w:rPr>
          <w:rFonts w:ascii="仿宋_GB2312" w:hAnsi="宋体" w:cs="Times New Roman"/>
          <w:kern w:val="0"/>
          <w:sz w:val="28"/>
          <w:szCs w:val="30"/>
        </w:rPr>
      </w:pPr>
      <w:r>
        <w:rPr>
          <w:rFonts w:ascii="仿宋_GB2312" w:hAnsi="宋体" w:cs="Times New Roman" w:hint="eastAsia"/>
          <w:kern w:val="0"/>
          <w:sz w:val="28"/>
          <w:szCs w:val="30"/>
        </w:rPr>
        <w:t>南京大学环境规划设计研究院</w:t>
      </w:r>
      <w:r w:rsidR="00AB2326">
        <w:rPr>
          <w:rFonts w:ascii="仿宋_GB2312" w:hAnsi="宋体" w:cs="Times New Roman" w:hint="eastAsia"/>
          <w:kern w:val="0"/>
          <w:sz w:val="28"/>
          <w:szCs w:val="30"/>
        </w:rPr>
        <w:t>集团</w:t>
      </w:r>
      <w:r>
        <w:rPr>
          <w:rFonts w:ascii="仿宋_GB2312" w:hAnsi="宋体" w:cs="Times New Roman" w:hint="eastAsia"/>
          <w:kern w:val="0"/>
          <w:sz w:val="28"/>
          <w:szCs w:val="30"/>
        </w:rPr>
        <w:t>股份公司</w:t>
      </w:r>
    </w:p>
    <w:p w14:paraId="2C367928" w14:textId="1099F657" w:rsidR="00B431F0" w:rsidRDefault="00507B22">
      <w:pPr>
        <w:spacing w:beforeLines="50" w:before="163" w:afterLines="50" w:after="163" w:line="240" w:lineRule="auto"/>
        <w:ind w:firstLineChars="0" w:firstLine="560"/>
        <w:jc w:val="right"/>
        <w:rPr>
          <w:rFonts w:ascii="仿宋_GB2312" w:hAnsi="宋体" w:cs="Times New Roman"/>
          <w:kern w:val="0"/>
          <w:sz w:val="28"/>
          <w:szCs w:val="30"/>
        </w:rPr>
      </w:pPr>
      <w:r>
        <w:rPr>
          <w:rFonts w:ascii="仿宋_GB2312" w:hAnsi="宋体" w:cs="Times New Roman" w:hint="eastAsia"/>
          <w:kern w:val="0"/>
          <w:sz w:val="28"/>
          <w:szCs w:val="30"/>
        </w:rPr>
        <w:t>二</w:t>
      </w:r>
      <w:r w:rsidR="00AB2326" w:rsidRPr="00AB2326">
        <w:rPr>
          <w:rFonts w:ascii="仿宋_GB2312" w:hAnsi="宋体" w:cs="Times New Roman" w:hint="eastAsia"/>
          <w:kern w:val="0"/>
          <w:sz w:val="28"/>
          <w:szCs w:val="30"/>
        </w:rPr>
        <w:t>○</w:t>
      </w:r>
      <w:r w:rsidR="00BD0D27">
        <w:rPr>
          <w:rFonts w:ascii="仿宋_GB2312" w:hAnsi="宋体" w:cs="Times New Roman" w:hint="eastAsia"/>
          <w:kern w:val="0"/>
          <w:sz w:val="28"/>
          <w:szCs w:val="30"/>
        </w:rPr>
        <w:t>二</w:t>
      </w:r>
      <w:r w:rsidR="00231074">
        <w:rPr>
          <w:rFonts w:ascii="仿宋_GB2312" w:hAnsi="宋体" w:cs="Times New Roman" w:hint="eastAsia"/>
          <w:kern w:val="0"/>
          <w:sz w:val="28"/>
          <w:szCs w:val="30"/>
        </w:rPr>
        <w:t>一</w:t>
      </w:r>
      <w:r w:rsidR="00BD0D27">
        <w:rPr>
          <w:rFonts w:ascii="仿宋_GB2312" w:hAnsi="宋体" w:cs="Times New Roman" w:hint="eastAsia"/>
          <w:kern w:val="0"/>
          <w:sz w:val="28"/>
          <w:szCs w:val="30"/>
        </w:rPr>
        <w:t>年</w:t>
      </w:r>
      <w:r w:rsidR="00C90C15">
        <w:rPr>
          <w:rFonts w:ascii="仿宋_GB2312" w:hAnsi="宋体" w:cs="Times New Roman" w:hint="eastAsia"/>
          <w:kern w:val="0"/>
          <w:sz w:val="28"/>
          <w:szCs w:val="30"/>
        </w:rPr>
        <w:t>十</w:t>
      </w:r>
      <w:r>
        <w:rPr>
          <w:rFonts w:ascii="仿宋_GB2312" w:hAnsi="宋体" w:cs="Times New Roman" w:hint="eastAsia"/>
          <w:kern w:val="0"/>
          <w:sz w:val="28"/>
          <w:szCs w:val="30"/>
        </w:rPr>
        <w:t>月</w:t>
      </w:r>
    </w:p>
    <w:p w14:paraId="40D2C73A" w14:textId="77777777" w:rsidR="00B431F0" w:rsidRDefault="00B431F0">
      <w:pPr>
        <w:spacing w:beforeLines="50" w:before="163" w:line="240" w:lineRule="auto"/>
        <w:ind w:firstLineChars="0" w:firstLine="641"/>
        <w:rPr>
          <w:rFonts w:ascii="仿宋_GB2312" w:hAnsi="宋体" w:cs="Times New Roman"/>
          <w:b/>
          <w:kern w:val="0"/>
          <w:sz w:val="32"/>
          <w:szCs w:val="32"/>
        </w:rPr>
        <w:sectPr w:rsidR="00B431F0" w:rsidSect="00ED5582">
          <w:headerReference w:type="default" r:id="rId13"/>
          <w:footerReference w:type="default" r:id="rId14"/>
          <w:pgSz w:w="11906" w:h="16838"/>
          <w:pgMar w:top="1440" w:right="1797" w:bottom="1440" w:left="1797" w:header="907" w:footer="397" w:gutter="0"/>
          <w:pgNumType w:start="1"/>
          <w:cols w:space="720"/>
          <w:docGrid w:type="lines" w:linePitch="326"/>
        </w:sectPr>
      </w:pPr>
    </w:p>
    <w:p w14:paraId="7131D1C9" w14:textId="77777777" w:rsidR="00B431F0" w:rsidRDefault="00507B22">
      <w:pPr>
        <w:keepNext/>
        <w:keepLines/>
        <w:spacing w:before="120" w:after="120" w:line="360" w:lineRule="auto"/>
        <w:ind w:firstLineChars="0" w:firstLine="0"/>
        <w:jc w:val="both"/>
        <w:outlineLvl w:val="0"/>
        <w:rPr>
          <w:rFonts w:cs="Times New Roman"/>
          <w:b/>
          <w:bCs/>
          <w:kern w:val="44"/>
          <w:sz w:val="32"/>
          <w:szCs w:val="44"/>
        </w:rPr>
      </w:pPr>
      <w:r>
        <w:rPr>
          <w:rFonts w:cs="Times New Roman" w:hint="eastAsia"/>
          <w:b/>
          <w:bCs/>
          <w:kern w:val="44"/>
          <w:sz w:val="32"/>
          <w:szCs w:val="44"/>
        </w:rPr>
        <w:lastRenderedPageBreak/>
        <w:t>1</w:t>
      </w:r>
      <w:r>
        <w:rPr>
          <w:rFonts w:cs="Times New Roman" w:hint="eastAsia"/>
          <w:b/>
          <w:bCs/>
          <w:kern w:val="44"/>
          <w:sz w:val="32"/>
          <w:szCs w:val="44"/>
        </w:rPr>
        <w:t>项目背景</w:t>
      </w:r>
      <w:bookmarkEnd w:id="6"/>
    </w:p>
    <w:p w14:paraId="42890206" w14:textId="77777777" w:rsidR="00C90C15" w:rsidRPr="00C90C15" w:rsidRDefault="00C90C15" w:rsidP="007B08D7">
      <w:pPr>
        <w:spacing w:line="360" w:lineRule="auto"/>
        <w:ind w:firstLineChars="0" w:firstLine="480"/>
        <w:jc w:val="both"/>
        <w:rPr>
          <w:rFonts w:cs="Times New Roman"/>
        </w:rPr>
      </w:pPr>
      <w:r w:rsidRPr="00C90C15">
        <w:rPr>
          <w:rFonts w:cs="Times New Roman" w:hint="eastAsia"/>
        </w:rPr>
        <w:t>芜湖</w:t>
      </w:r>
      <w:proofErr w:type="gramStart"/>
      <w:r w:rsidRPr="00C90C15">
        <w:rPr>
          <w:rFonts w:cs="Times New Roman" w:hint="eastAsia"/>
        </w:rPr>
        <w:t>新兴铸</w:t>
      </w:r>
      <w:proofErr w:type="gramEnd"/>
      <w:r w:rsidRPr="00C90C15">
        <w:rPr>
          <w:rFonts w:cs="Times New Roman" w:hint="eastAsia"/>
        </w:rPr>
        <w:t>管弋江老厂区</w:t>
      </w:r>
      <w:r w:rsidRPr="00C90C15">
        <w:rPr>
          <w:rFonts w:cs="Times New Roman" w:hint="eastAsia"/>
        </w:rPr>
        <w:t>12#</w:t>
      </w:r>
      <w:r w:rsidRPr="00C90C15">
        <w:rPr>
          <w:rFonts w:cs="Times New Roman" w:hint="eastAsia"/>
        </w:rPr>
        <w:t>地块位于芜湖市弋江区原芜湖</w:t>
      </w:r>
      <w:proofErr w:type="gramStart"/>
      <w:r w:rsidRPr="00C90C15">
        <w:rPr>
          <w:rFonts w:cs="Times New Roman" w:hint="eastAsia"/>
        </w:rPr>
        <w:t>新兴铸</w:t>
      </w:r>
      <w:proofErr w:type="gramEnd"/>
      <w:r w:rsidRPr="00C90C15">
        <w:rPr>
          <w:rFonts w:cs="Times New Roman" w:hint="eastAsia"/>
        </w:rPr>
        <w:t>管弋江老厂区内，其前身是</w:t>
      </w:r>
      <w:r w:rsidRPr="00C90C15">
        <w:rPr>
          <w:rFonts w:cs="Times New Roman" w:hint="eastAsia"/>
        </w:rPr>
        <w:t>1958</w:t>
      </w:r>
      <w:r w:rsidRPr="00C90C15">
        <w:rPr>
          <w:rFonts w:cs="Times New Roman" w:hint="eastAsia"/>
        </w:rPr>
        <w:t>年建厂的芜湖钢铁厂。</w:t>
      </w:r>
      <w:r w:rsidRPr="00C90C15">
        <w:rPr>
          <w:rFonts w:cs="Times New Roman" w:hint="eastAsia"/>
        </w:rPr>
        <w:t>2003</w:t>
      </w:r>
      <w:r w:rsidRPr="00C90C15">
        <w:rPr>
          <w:rFonts w:cs="Times New Roman" w:hint="eastAsia"/>
        </w:rPr>
        <w:t>年</w:t>
      </w:r>
      <w:r w:rsidRPr="00C90C15">
        <w:rPr>
          <w:rFonts w:cs="Times New Roman" w:hint="eastAsia"/>
        </w:rPr>
        <w:t>4</w:t>
      </w:r>
      <w:r w:rsidRPr="00C90C15">
        <w:rPr>
          <w:rFonts w:cs="Times New Roman" w:hint="eastAsia"/>
        </w:rPr>
        <w:t>月，在芜湖市政府的大力支持下，经国务院国资委批准，由新兴铸管股份公司和</w:t>
      </w:r>
      <w:proofErr w:type="gramStart"/>
      <w:r w:rsidRPr="00C90C15">
        <w:rPr>
          <w:rFonts w:cs="Times New Roman" w:hint="eastAsia"/>
        </w:rPr>
        <w:t>新兴际华集团</w:t>
      </w:r>
      <w:proofErr w:type="gramEnd"/>
      <w:r w:rsidRPr="00C90C15">
        <w:rPr>
          <w:rFonts w:cs="Times New Roman" w:hint="eastAsia"/>
        </w:rPr>
        <w:t>（原新兴铸管集团）共同出资重组成立。随着芜湖城市发展以及城市功能定位的转型升级，位于城市中心区的厂区已被居民区所包围，企业的生存发展与城市发展相矛盾。</w:t>
      </w:r>
      <w:r w:rsidRPr="00C90C15">
        <w:rPr>
          <w:rFonts w:cs="Times New Roman" w:hint="eastAsia"/>
        </w:rPr>
        <w:t>2011</w:t>
      </w:r>
      <w:r w:rsidRPr="00C90C15">
        <w:rPr>
          <w:rFonts w:cs="Times New Roman" w:hint="eastAsia"/>
        </w:rPr>
        <w:t>年</w:t>
      </w:r>
      <w:r w:rsidRPr="00C90C15">
        <w:rPr>
          <w:rFonts w:cs="Times New Roman" w:hint="eastAsia"/>
        </w:rPr>
        <w:t>3</w:t>
      </w:r>
      <w:r w:rsidRPr="00C90C15">
        <w:rPr>
          <w:rFonts w:cs="Times New Roman" w:hint="eastAsia"/>
        </w:rPr>
        <w:t>月，根据芜湖城市发展、城市功能定位及《芜湖市国民经济和社会发展第十二个五年规划纲要》和《芜湖市城市总体规划（</w:t>
      </w:r>
      <w:r w:rsidRPr="00C90C15">
        <w:rPr>
          <w:rFonts w:cs="Times New Roman" w:hint="eastAsia"/>
        </w:rPr>
        <w:t>2012-2030</w:t>
      </w:r>
      <w:r w:rsidRPr="00C90C15">
        <w:rPr>
          <w:rFonts w:cs="Times New Roman" w:hint="eastAsia"/>
        </w:rPr>
        <w:t>年）》所提出的战略定位和空间布局，芜湖新兴铸管从战略布局的高度出发，决定实施钢厂搬迁。</w:t>
      </w:r>
      <w:r w:rsidRPr="00C90C15">
        <w:rPr>
          <w:rFonts w:cs="Times New Roman" w:hint="eastAsia"/>
        </w:rPr>
        <w:t>2014</w:t>
      </w:r>
      <w:r w:rsidRPr="00C90C15">
        <w:rPr>
          <w:rFonts w:cs="Times New Roman" w:hint="eastAsia"/>
        </w:rPr>
        <w:t>年</w:t>
      </w:r>
      <w:r w:rsidRPr="00C90C15">
        <w:rPr>
          <w:rFonts w:cs="Times New Roman" w:hint="eastAsia"/>
        </w:rPr>
        <w:t>5</w:t>
      </w:r>
      <w:r w:rsidRPr="00C90C15">
        <w:rPr>
          <w:rFonts w:cs="Times New Roman" w:hint="eastAsia"/>
        </w:rPr>
        <w:t>月，公司与芜湖市人民政府就芜湖新兴整体由弋江老厂区搬迁至</w:t>
      </w:r>
      <w:proofErr w:type="gramStart"/>
      <w:r w:rsidRPr="00C90C15">
        <w:rPr>
          <w:rFonts w:cs="Times New Roman" w:hint="eastAsia"/>
        </w:rPr>
        <w:t>三山区</w:t>
      </w:r>
      <w:proofErr w:type="gramEnd"/>
      <w:r w:rsidRPr="00C90C15">
        <w:rPr>
          <w:rFonts w:cs="Times New Roman" w:hint="eastAsia"/>
        </w:rPr>
        <w:t>事项签署搬迁协议。</w:t>
      </w:r>
    </w:p>
    <w:p w14:paraId="1D1F663D" w14:textId="77777777" w:rsidR="00C90C15" w:rsidRPr="00C90C15" w:rsidRDefault="00C90C15" w:rsidP="007B08D7">
      <w:pPr>
        <w:spacing w:line="360" w:lineRule="auto"/>
        <w:ind w:firstLineChars="0" w:firstLine="480"/>
        <w:jc w:val="both"/>
        <w:rPr>
          <w:rFonts w:cs="Times New Roman"/>
        </w:rPr>
      </w:pPr>
      <w:r w:rsidRPr="00C90C15">
        <w:rPr>
          <w:rFonts w:cs="Times New Roman" w:hint="eastAsia"/>
        </w:rPr>
        <w:t>《中华人民共和国土壤污染防治法》第五十九条规定，地块用途变更为住宅、公共管理与公共服务用地的，变更前应当按照规定进行土壤污染状况调查。</w:t>
      </w:r>
    </w:p>
    <w:p w14:paraId="58A205A1" w14:textId="77777777" w:rsidR="00C90C15" w:rsidRPr="00C90C15" w:rsidRDefault="00C90C15" w:rsidP="007B08D7">
      <w:pPr>
        <w:spacing w:line="360" w:lineRule="auto"/>
        <w:ind w:firstLineChars="0" w:firstLine="480"/>
        <w:jc w:val="both"/>
        <w:rPr>
          <w:rFonts w:cs="Times New Roman"/>
        </w:rPr>
      </w:pPr>
      <w:r w:rsidRPr="00C90C15">
        <w:rPr>
          <w:rFonts w:cs="Times New Roman" w:hint="eastAsia"/>
        </w:rPr>
        <w:t>根据《芜湖市城市总体规划（</w:t>
      </w:r>
      <w:r w:rsidRPr="00C90C15">
        <w:rPr>
          <w:rFonts w:cs="Times New Roman" w:hint="eastAsia"/>
        </w:rPr>
        <w:t>2012-2030</w:t>
      </w:r>
      <w:r w:rsidRPr="00C90C15">
        <w:rPr>
          <w:rFonts w:cs="Times New Roman" w:hint="eastAsia"/>
        </w:rPr>
        <w:t>）》（</w:t>
      </w:r>
      <w:r w:rsidRPr="00C90C15">
        <w:rPr>
          <w:rFonts w:cs="Times New Roman" w:hint="eastAsia"/>
        </w:rPr>
        <w:t>2018</w:t>
      </w:r>
      <w:r w:rsidRPr="00C90C15">
        <w:rPr>
          <w:rFonts w:cs="Times New Roman" w:hint="eastAsia"/>
        </w:rPr>
        <w:t>修改）和《芜湖市城南新兴铸管厂老厂区</w:t>
      </w:r>
      <w:r w:rsidRPr="00C90C15">
        <w:rPr>
          <w:rFonts w:cs="Times New Roman" w:hint="eastAsia"/>
        </w:rPr>
        <w:t>CN-06</w:t>
      </w:r>
      <w:r w:rsidRPr="00C90C15">
        <w:rPr>
          <w:rFonts w:cs="Times New Roman" w:hint="eastAsia"/>
        </w:rPr>
        <w:t>管理单元规划（局部调整）》（</w:t>
      </w:r>
      <w:r w:rsidRPr="00C90C15">
        <w:rPr>
          <w:rFonts w:cs="Times New Roman" w:hint="eastAsia"/>
        </w:rPr>
        <w:t>2021</w:t>
      </w:r>
      <w:r w:rsidRPr="00C90C15">
        <w:rPr>
          <w:rFonts w:cs="Times New Roman" w:hint="eastAsia"/>
        </w:rPr>
        <w:t>年</w:t>
      </w:r>
      <w:r w:rsidRPr="00C90C15">
        <w:rPr>
          <w:rFonts w:cs="Times New Roman" w:hint="eastAsia"/>
        </w:rPr>
        <w:t>8</w:t>
      </w:r>
      <w:r w:rsidRPr="00C90C15">
        <w:rPr>
          <w:rFonts w:cs="Times New Roman" w:hint="eastAsia"/>
        </w:rPr>
        <w:t>月），芜湖</w:t>
      </w:r>
      <w:proofErr w:type="gramStart"/>
      <w:r w:rsidRPr="00C90C15">
        <w:rPr>
          <w:rFonts w:cs="Times New Roman" w:hint="eastAsia"/>
        </w:rPr>
        <w:t>新兴铸</w:t>
      </w:r>
      <w:proofErr w:type="gramEnd"/>
      <w:r w:rsidRPr="00C90C15">
        <w:rPr>
          <w:rFonts w:cs="Times New Roman" w:hint="eastAsia"/>
        </w:rPr>
        <w:t>管弋江老厂区规划为居住用地（</w:t>
      </w:r>
      <w:r w:rsidRPr="00C90C15">
        <w:rPr>
          <w:rFonts w:cs="Times New Roman" w:hint="eastAsia"/>
        </w:rPr>
        <w:t>R</w:t>
      </w:r>
      <w:r w:rsidRPr="00C90C15">
        <w:rPr>
          <w:rFonts w:cs="Times New Roman" w:hint="eastAsia"/>
        </w:rPr>
        <w:t>）、公共管理与公共服务设施用地（</w:t>
      </w:r>
      <w:r w:rsidRPr="00C90C15">
        <w:rPr>
          <w:rFonts w:cs="Times New Roman" w:hint="eastAsia"/>
        </w:rPr>
        <w:t>A</w:t>
      </w:r>
      <w:r w:rsidRPr="00C90C15">
        <w:rPr>
          <w:rFonts w:cs="Times New Roman" w:hint="eastAsia"/>
        </w:rPr>
        <w:t>）、商业服务业设施用地（</w:t>
      </w:r>
      <w:r w:rsidRPr="00C90C15">
        <w:rPr>
          <w:rFonts w:cs="Times New Roman" w:hint="eastAsia"/>
        </w:rPr>
        <w:t>B</w:t>
      </w:r>
      <w:r w:rsidRPr="00C90C15">
        <w:rPr>
          <w:rFonts w:cs="Times New Roman" w:hint="eastAsia"/>
        </w:rPr>
        <w:t>）、道路与交通设施用地（</w:t>
      </w:r>
      <w:r w:rsidRPr="00C90C15">
        <w:rPr>
          <w:rFonts w:cs="Times New Roman" w:hint="eastAsia"/>
        </w:rPr>
        <w:t>S</w:t>
      </w:r>
      <w:r w:rsidRPr="00C90C15">
        <w:rPr>
          <w:rFonts w:cs="Times New Roman" w:hint="eastAsia"/>
        </w:rPr>
        <w:t>）、绿地与广场用地（</w:t>
      </w:r>
      <w:r w:rsidRPr="00C90C15">
        <w:rPr>
          <w:rFonts w:cs="Times New Roman" w:hint="eastAsia"/>
        </w:rPr>
        <w:t>G</w:t>
      </w:r>
      <w:r w:rsidRPr="00C90C15">
        <w:rPr>
          <w:rFonts w:cs="Times New Roman" w:hint="eastAsia"/>
        </w:rPr>
        <w:t>）等，为保障土地收储工作的顺利进行，同时考虑疑似污染地块在土地收储及后期开发利用过程带来新的环境问题，须对地块环境现状进行调查，明确地块的环境污染情况，评估地块污染的环境风险，为地块的后期开发利用提供依据和指导。</w:t>
      </w:r>
      <w:proofErr w:type="gramStart"/>
      <w:r w:rsidRPr="00C90C15">
        <w:rPr>
          <w:rFonts w:cs="Times New Roman" w:hint="eastAsia"/>
        </w:rPr>
        <w:t>新兴铸</w:t>
      </w:r>
      <w:proofErr w:type="gramEnd"/>
      <w:r w:rsidRPr="00C90C15">
        <w:rPr>
          <w:rFonts w:cs="Times New Roman" w:hint="eastAsia"/>
        </w:rPr>
        <w:t>管弋江老厂区</w:t>
      </w:r>
      <w:r w:rsidRPr="00C90C15">
        <w:rPr>
          <w:rFonts w:cs="Times New Roman" w:hint="eastAsia"/>
        </w:rPr>
        <w:t>1#~10#</w:t>
      </w:r>
      <w:r w:rsidRPr="00C90C15">
        <w:rPr>
          <w:rFonts w:cs="Times New Roman" w:hint="eastAsia"/>
        </w:rPr>
        <w:t>地块已先后完成了土壤污染状况调查，芜湖</w:t>
      </w:r>
      <w:proofErr w:type="gramStart"/>
      <w:r w:rsidRPr="00C90C15">
        <w:rPr>
          <w:rFonts w:cs="Times New Roman" w:hint="eastAsia"/>
        </w:rPr>
        <w:t>新兴铸</w:t>
      </w:r>
      <w:proofErr w:type="gramEnd"/>
      <w:r w:rsidRPr="00C90C15">
        <w:rPr>
          <w:rFonts w:cs="Times New Roman" w:hint="eastAsia"/>
        </w:rPr>
        <w:t>管弋江老</w:t>
      </w:r>
      <w:proofErr w:type="gramStart"/>
      <w:r w:rsidRPr="00C90C15">
        <w:rPr>
          <w:rFonts w:cs="Times New Roman" w:hint="eastAsia"/>
        </w:rPr>
        <w:t>厂区仅</w:t>
      </w:r>
      <w:proofErr w:type="gramEnd"/>
      <w:r w:rsidRPr="00C90C15">
        <w:rPr>
          <w:rFonts w:cs="Times New Roman" w:hint="eastAsia"/>
        </w:rPr>
        <w:t>剩</w:t>
      </w:r>
      <w:r w:rsidRPr="00C90C15">
        <w:rPr>
          <w:rFonts w:cs="Times New Roman" w:hint="eastAsia"/>
        </w:rPr>
        <w:t>11#</w:t>
      </w:r>
      <w:r w:rsidRPr="00C90C15">
        <w:rPr>
          <w:rFonts w:cs="Times New Roman" w:hint="eastAsia"/>
        </w:rPr>
        <w:t>和</w:t>
      </w:r>
      <w:r w:rsidRPr="00C90C15">
        <w:rPr>
          <w:rFonts w:cs="Times New Roman" w:hint="eastAsia"/>
        </w:rPr>
        <w:t>12#</w:t>
      </w:r>
      <w:r w:rsidRPr="00C90C15">
        <w:rPr>
          <w:rFonts w:cs="Times New Roman" w:hint="eastAsia"/>
        </w:rPr>
        <w:t>两个地块未完成土壤污染状况调查工作。</w:t>
      </w:r>
    </w:p>
    <w:p w14:paraId="5ABED8AA" w14:textId="77777777" w:rsidR="00C90C15" w:rsidRPr="00C90C15" w:rsidRDefault="00C90C15" w:rsidP="007B08D7">
      <w:pPr>
        <w:spacing w:line="360" w:lineRule="auto"/>
        <w:ind w:firstLineChars="0" w:firstLine="480"/>
        <w:jc w:val="both"/>
        <w:rPr>
          <w:rFonts w:cs="Times New Roman"/>
        </w:rPr>
      </w:pPr>
      <w:r w:rsidRPr="00C90C15">
        <w:rPr>
          <w:rFonts w:cs="Times New Roman" w:hint="eastAsia"/>
        </w:rPr>
        <w:t>鉴于此，</w:t>
      </w:r>
      <w:r w:rsidRPr="00C90C15">
        <w:rPr>
          <w:rFonts w:cs="Times New Roman" w:hint="eastAsia"/>
        </w:rPr>
        <w:t>2020</w:t>
      </w:r>
      <w:r w:rsidRPr="00C90C15">
        <w:rPr>
          <w:rFonts w:cs="Times New Roman" w:hint="eastAsia"/>
        </w:rPr>
        <w:t>年</w:t>
      </w:r>
      <w:r w:rsidRPr="00C90C15">
        <w:rPr>
          <w:rFonts w:cs="Times New Roman" w:hint="eastAsia"/>
        </w:rPr>
        <w:t>7</w:t>
      </w:r>
      <w:r w:rsidRPr="00C90C15">
        <w:rPr>
          <w:rFonts w:cs="Times New Roman" w:hint="eastAsia"/>
        </w:rPr>
        <w:t>月，芜湖新兴投资开发有限责任公司委托南京大学环境规划设计研究院集团股份公司（以下简称“南大环</w:t>
      </w:r>
      <w:proofErr w:type="gramStart"/>
      <w:r w:rsidRPr="00C90C15">
        <w:rPr>
          <w:rFonts w:cs="Times New Roman" w:hint="eastAsia"/>
        </w:rPr>
        <w:t>规</w:t>
      </w:r>
      <w:proofErr w:type="gramEnd"/>
      <w:r w:rsidRPr="00C90C15">
        <w:rPr>
          <w:rFonts w:cs="Times New Roman" w:hint="eastAsia"/>
        </w:rPr>
        <w:t>院”）对芜湖</w:t>
      </w:r>
      <w:proofErr w:type="gramStart"/>
      <w:r w:rsidRPr="00C90C15">
        <w:rPr>
          <w:rFonts w:cs="Times New Roman" w:hint="eastAsia"/>
        </w:rPr>
        <w:t>新兴铸</w:t>
      </w:r>
      <w:proofErr w:type="gramEnd"/>
      <w:r w:rsidRPr="00C90C15">
        <w:rPr>
          <w:rFonts w:cs="Times New Roman" w:hint="eastAsia"/>
        </w:rPr>
        <w:t>管弋江老厂区</w:t>
      </w:r>
      <w:r w:rsidRPr="00C90C15">
        <w:rPr>
          <w:rFonts w:cs="Times New Roman" w:hint="eastAsia"/>
        </w:rPr>
        <w:t>12#</w:t>
      </w:r>
      <w:r w:rsidRPr="00C90C15">
        <w:rPr>
          <w:rFonts w:cs="Times New Roman" w:hint="eastAsia"/>
        </w:rPr>
        <w:t>地块进行土壤污染状况调查。根据《芜湖市城市总体规划（</w:t>
      </w:r>
      <w:r w:rsidRPr="00C90C15">
        <w:rPr>
          <w:rFonts w:cs="Times New Roman" w:hint="eastAsia"/>
        </w:rPr>
        <w:t>2012-2030</w:t>
      </w:r>
      <w:r w:rsidRPr="00C90C15">
        <w:rPr>
          <w:rFonts w:cs="Times New Roman" w:hint="eastAsia"/>
        </w:rPr>
        <w:t>）》（</w:t>
      </w:r>
      <w:r w:rsidRPr="00C90C15">
        <w:rPr>
          <w:rFonts w:cs="Times New Roman" w:hint="eastAsia"/>
        </w:rPr>
        <w:t>2018</w:t>
      </w:r>
      <w:r w:rsidRPr="00C90C15">
        <w:rPr>
          <w:rFonts w:cs="Times New Roman" w:hint="eastAsia"/>
        </w:rPr>
        <w:t>修改）和《芜湖市城南新兴铸管厂老厂区</w:t>
      </w:r>
      <w:r w:rsidRPr="00C90C15">
        <w:rPr>
          <w:rFonts w:cs="Times New Roman" w:hint="eastAsia"/>
        </w:rPr>
        <w:t>CN-06</w:t>
      </w:r>
      <w:r w:rsidRPr="00C90C15">
        <w:rPr>
          <w:rFonts w:cs="Times New Roman" w:hint="eastAsia"/>
        </w:rPr>
        <w:t>管理单元规划（局部调</w:t>
      </w:r>
      <w:r w:rsidRPr="00C90C15">
        <w:rPr>
          <w:rFonts w:cs="Times New Roman" w:hint="eastAsia"/>
        </w:rPr>
        <w:lastRenderedPageBreak/>
        <w:t>整）》（</w:t>
      </w:r>
      <w:r w:rsidRPr="00C90C15">
        <w:rPr>
          <w:rFonts w:cs="Times New Roman" w:hint="eastAsia"/>
        </w:rPr>
        <w:t>2021</w:t>
      </w:r>
      <w:r w:rsidRPr="00C90C15">
        <w:rPr>
          <w:rFonts w:cs="Times New Roman" w:hint="eastAsia"/>
        </w:rPr>
        <w:t>年</w:t>
      </w:r>
      <w:r w:rsidRPr="00C90C15">
        <w:rPr>
          <w:rFonts w:cs="Times New Roman" w:hint="eastAsia"/>
        </w:rPr>
        <w:t>8</w:t>
      </w:r>
      <w:r w:rsidRPr="00C90C15">
        <w:rPr>
          <w:rFonts w:cs="Times New Roman" w:hint="eastAsia"/>
        </w:rPr>
        <w:t>月），本地块规划为住宅混合用地（</w:t>
      </w:r>
      <w:r w:rsidRPr="00C90C15">
        <w:rPr>
          <w:rFonts w:cs="Times New Roman" w:hint="eastAsia"/>
        </w:rPr>
        <w:t>RB</w:t>
      </w:r>
      <w:r w:rsidRPr="00C90C15">
        <w:rPr>
          <w:rFonts w:cs="Times New Roman" w:hint="eastAsia"/>
        </w:rPr>
        <w:t>）、中小学用地（</w:t>
      </w:r>
      <w:r w:rsidRPr="00C90C15">
        <w:rPr>
          <w:rFonts w:cs="Times New Roman" w:hint="eastAsia"/>
        </w:rPr>
        <w:t>A33</w:t>
      </w:r>
      <w:r w:rsidRPr="00C90C15">
        <w:rPr>
          <w:rFonts w:cs="Times New Roman" w:hint="eastAsia"/>
        </w:rPr>
        <w:t>）、防护绿地（</w:t>
      </w:r>
      <w:r w:rsidRPr="00C90C15">
        <w:rPr>
          <w:rFonts w:cs="Times New Roman" w:hint="eastAsia"/>
        </w:rPr>
        <w:t>G2</w:t>
      </w:r>
      <w:r w:rsidRPr="00C90C15">
        <w:rPr>
          <w:rFonts w:cs="Times New Roman" w:hint="eastAsia"/>
        </w:rPr>
        <w:t>）、公园绿地（</w:t>
      </w:r>
      <w:r w:rsidRPr="00C90C15">
        <w:rPr>
          <w:rFonts w:cs="Times New Roman" w:hint="eastAsia"/>
        </w:rPr>
        <w:t>G1</w:t>
      </w:r>
      <w:r w:rsidRPr="00C90C15">
        <w:rPr>
          <w:rFonts w:cs="Times New Roman" w:hint="eastAsia"/>
        </w:rPr>
        <w:t>）中的社区公园用地和道路用地（</w:t>
      </w:r>
      <w:r w:rsidRPr="00C90C15">
        <w:rPr>
          <w:rFonts w:cs="Times New Roman" w:hint="eastAsia"/>
        </w:rPr>
        <w:t>S1</w:t>
      </w:r>
      <w:r w:rsidRPr="00C90C15">
        <w:rPr>
          <w:rFonts w:cs="Times New Roman" w:hint="eastAsia"/>
        </w:rPr>
        <w:t>）。</w:t>
      </w:r>
    </w:p>
    <w:p w14:paraId="0ADE5EEE" w14:textId="31B590F1" w:rsidR="00ED5582" w:rsidRPr="00B472AA" w:rsidRDefault="00C90C15" w:rsidP="00ED5582">
      <w:pPr>
        <w:adjustRightInd w:val="0"/>
        <w:snapToGrid w:val="0"/>
        <w:spacing w:line="240" w:lineRule="auto"/>
        <w:ind w:firstLine="482"/>
        <w:jc w:val="center"/>
        <w:rPr>
          <w:rFonts w:eastAsia="仿宋" w:cs="Times New Roman"/>
          <w:b/>
        </w:rPr>
      </w:pPr>
      <w:r w:rsidRPr="00A64496">
        <w:rPr>
          <w:rFonts w:eastAsia="仿宋" w:cs="Times New Roman"/>
          <w:b/>
          <w:noProof/>
        </w:rPr>
        <w:drawing>
          <wp:inline distT="0" distB="0" distL="0" distR="0" wp14:anchorId="1D864E23" wp14:editId="52F127FC">
            <wp:extent cx="5274310" cy="3729091"/>
            <wp:effectExtent l="0" t="0" r="254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15"/>
                    <a:stretch>
                      <a:fillRect/>
                    </a:stretch>
                  </pic:blipFill>
                  <pic:spPr>
                    <a:xfrm>
                      <a:off x="0" y="0"/>
                      <a:ext cx="5274310" cy="3729091"/>
                    </a:xfrm>
                    <a:prstGeom prst="rect">
                      <a:avLst/>
                    </a:prstGeom>
                  </pic:spPr>
                </pic:pic>
              </a:graphicData>
            </a:graphic>
          </wp:inline>
        </w:drawing>
      </w:r>
    </w:p>
    <w:p w14:paraId="226CD5AB" w14:textId="77777777" w:rsidR="00B431F0" w:rsidRDefault="00507B22">
      <w:pPr>
        <w:spacing w:line="240" w:lineRule="auto"/>
        <w:ind w:firstLineChars="0" w:firstLine="0"/>
        <w:jc w:val="center"/>
        <w:rPr>
          <w:rFonts w:cs="Times New Roman"/>
          <w:b/>
          <w:kern w:val="0"/>
        </w:rPr>
      </w:pPr>
      <w:r>
        <w:rPr>
          <w:rFonts w:cs="Times New Roman" w:hint="eastAsia"/>
          <w:b/>
          <w:kern w:val="0"/>
        </w:rPr>
        <w:t>图</w:t>
      </w:r>
      <w:r>
        <w:rPr>
          <w:rFonts w:cs="Times New Roman"/>
          <w:b/>
          <w:kern w:val="0"/>
        </w:rPr>
        <w:t xml:space="preserve">1  </w:t>
      </w:r>
      <w:r>
        <w:rPr>
          <w:rFonts w:cs="Times New Roman" w:hint="eastAsia"/>
          <w:b/>
          <w:kern w:val="0"/>
        </w:rPr>
        <w:t>调查范围</w:t>
      </w:r>
    </w:p>
    <w:p w14:paraId="444DC9CE" w14:textId="77777777" w:rsidR="00B431F0" w:rsidRDefault="00507B22">
      <w:pPr>
        <w:keepNext/>
        <w:keepLines/>
        <w:spacing w:before="120" w:after="120" w:line="360" w:lineRule="auto"/>
        <w:ind w:firstLineChars="0" w:firstLine="0"/>
        <w:jc w:val="both"/>
        <w:outlineLvl w:val="0"/>
        <w:rPr>
          <w:rFonts w:cs="Times New Roman"/>
          <w:b/>
          <w:bCs/>
          <w:kern w:val="44"/>
          <w:sz w:val="32"/>
          <w:szCs w:val="44"/>
        </w:rPr>
      </w:pPr>
      <w:r>
        <w:rPr>
          <w:rFonts w:cs="Times New Roman"/>
          <w:b/>
          <w:bCs/>
          <w:kern w:val="44"/>
          <w:sz w:val="32"/>
          <w:szCs w:val="44"/>
        </w:rPr>
        <w:t>2</w:t>
      </w:r>
      <w:r>
        <w:rPr>
          <w:rFonts w:cs="Times New Roman" w:hint="eastAsia"/>
          <w:b/>
          <w:bCs/>
          <w:kern w:val="44"/>
          <w:sz w:val="32"/>
          <w:szCs w:val="44"/>
        </w:rPr>
        <w:t>项目实施概况</w:t>
      </w:r>
    </w:p>
    <w:p w14:paraId="64035F6A" w14:textId="3873BCD0" w:rsidR="0047228F" w:rsidRPr="0047228F" w:rsidRDefault="0047228F" w:rsidP="007B08D7">
      <w:pPr>
        <w:spacing w:line="360" w:lineRule="auto"/>
        <w:ind w:firstLineChars="0" w:firstLine="480"/>
        <w:jc w:val="both"/>
        <w:rPr>
          <w:rFonts w:cs="Times New Roman"/>
        </w:rPr>
      </w:pPr>
      <w:r w:rsidRPr="0047228F">
        <w:rPr>
          <w:rFonts w:cs="Times New Roman" w:hint="eastAsia"/>
        </w:rPr>
        <w:t>2020</w:t>
      </w:r>
      <w:r w:rsidRPr="0047228F">
        <w:rPr>
          <w:rFonts w:cs="Times New Roman" w:hint="eastAsia"/>
        </w:rPr>
        <w:t>年</w:t>
      </w:r>
      <w:r w:rsidRPr="0047228F">
        <w:rPr>
          <w:rFonts w:cs="Times New Roman" w:hint="eastAsia"/>
        </w:rPr>
        <w:t>8</w:t>
      </w:r>
      <w:r w:rsidRPr="0047228F">
        <w:rPr>
          <w:rFonts w:cs="Times New Roman" w:hint="eastAsia"/>
        </w:rPr>
        <w:t>月，南京大学环境规划设计研究院集团股份公司（以下简称“南大环</w:t>
      </w:r>
      <w:proofErr w:type="gramStart"/>
      <w:r w:rsidRPr="0047228F">
        <w:rPr>
          <w:rFonts w:cs="Times New Roman" w:hint="eastAsia"/>
        </w:rPr>
        <w:t>规</w:t>
      </w:r>
      <w:proofErr w:type="gramEnd"/>
      <w:r w:rsidRPr="0047228F">
        <w:rPr>
          <w:rFonts w:cs="Times New Roman" w:hint="eastAsia"/>
        </w:rPr>
        <w:t>院”）开始该地块土壤污染状况调查工作。在分析数据的基础上完成《芜湖新兴铸管弋江老厂区</w:t>
      </w:r>
      <w:r w:rsidR="00514B62">
        <w:rPr>
          <w:rFonts w:cs="Times New Roman"/>
        </w:rPr>
        <w:t>12</w:t>
      </w:r>
      <w:r w:rsidRPr="0047228F">
        <w:rPr>
          <w:rFonts w:cs="Times New Roman" w:hint="eastAsia"/>
        </w:rPr>
        <w:t>#</w:t>
      </w:r>
      <w:r w:rsidRPr="0047228F">
        <w:rPr>
          <w:rFonts w:cs="Times New Roman" w:hint="eastAsia"/>
        </w:rPr>
        <w:t>地块土壤污染状况调查报告》（以下简称《报告》）的编制，并于</w:t>
      </w:r>
      <w:r w:rsidRPr="0047228F">
        <w:rPr>
          <w:rFonts w:cs="Times New Roman" w:hint="eastAsia"/>
        </w:rPr>
        <w:t>2021</w:t>
      </w:r>
      <w:r w:rsidRPr="0047228F">
        <w:rPr>
          <w:rFonts w:cs="Times New Roman" w:hint="eastAsia"/>
        </w:rPr>
        <w:t>年</w:t>
      </w:r>
      <w:r w:rsidRPr="0047228F">
        <w:rPr>
          <w:rFonts w:cs="Times New Roman" w:hint="eastAsia"/>
        </w:rPr>
        <w:t>8</w:t>
      </w:r>
      <w:r w:rsidRPr="0047228F">
        <w:rPr>
          <w:rFonts w:cs="Times New Roman" w:hint="eastAsia"/>
        </w:rPr>
        <w:t>月通过由芜湖市生态环境局会同芜湖市自然资源和规划局在芜湖市组织召开的技术评审会。在地块土壤污染状况调查的基础上，南大环</w:t>
      </w:r>
      <w:proofErr w:type="gramStart"/>
      <w:r w:rsidRPr="0047228F">
        <w:rPr>
          <w:rFonts w:cs="Times New Roman" w:hint="eastAsia"/>
        </w:rPr>
        <w:t>规</w:t>
      </w:r>
      <w:proofErr w:type="gramEnd"/>
      <w:r w:rsidRPr="0047228F">
        <w:rPr>
          <w:rFonts w:cs="Times New Roman" w:hint="eastAsia"/>
        </w:rPr>
        <w:t>院对该地块进一步开展了风险评估工作，并编制了《芜湖新兴铸管弋江老厂区</w:t>
      </w:r>
      <w:r w:rsidR="00514B62">
        <w:rPr>
          <w:rFonts w:cs="Times New Roman"/>
        </w:rPr>
        <w:t>12</w:t>
      </w:r>
      <w:r w:rsidRPr="0047228F">
        <w:rPr>
          <w:rFonts w:cs="Times New Roman" w:hint="eastAsia"/>
        </w:rPr>
        <w:t>#</w:t>
      </w:r>
      <w:r w:rsidRPr="0047228F">
        <w:rPr>
          <w:rFonts w:cs="Times New Roman" w:hint="eastAsia"/>
        </w:rPr>
        <w:t>地块土壤污染风险评估报告》，并于</w:t>
      </w:r>
      <w:r w:rsidRPr="0047228F">
        <w:rPr>
          <w:rFonts w:cs="Times New Roman" w:hint="eastAsia"/>
        </w:rPr>
        <w:t>2021</w:t>
      </w:r>
      <w:r w:rsidRPr="0047228F">
        <w:rPr>
          <w:rFonts w:cs="Times New Roman" w:hint="eastAsia"/>
        </w:rPr>
        <w:t>年</w:t>
      </w:r>
      <w:r w:rsidRPr="0047228F">
        <w:rPr>
          <w:rFonts w:cs="Times New Roman" w:hint="eastAsia"/>
        </w:rPr>
        <w:t>9</w:t>
      </w:r>
      <w:r w:rsidRPr="0047228F">
        <w:rPr>
          <w:rFonts w:cs="Times New Roman" w:hint="eastAsia"/>
        </w:rPr>
        <w:t>月通过由安徽省生态环境厅会同安徽省自然资源厅在芜湖市组织召开的技术评审会。</w:t>
      </w:r>
    </w:p>
    <w:p w14:paraId="44487782" w14:textId="4495BEE0" w:rsidR="00B431F0" w:rsidRDefault="0047228F">
      <w:pPr>
        <w:keepNext/>
        <w:keepLines/>
        <w:spacing w:before="120" w:after="120" w:line="360" w:lineRule="auto"/>
        <w:ind w:firstLineChars="0" w:firstLine="0"/>
        <w:jc w:val="both"/>
        <w:outlineLvl w:val="0"/>
        <w:rPr>
          <w:rFonts w:cs="Times New Roman"/>
          <w:b/>
          <w:bCs/>
          <w:kern w:val="44"/>
          <w:sz w:val="32"/>
          <w:szCs w:val="44"/>
        </w:rPr>
      </w:pPr>
      <w:r>
        <w:rPr>
          <w:rFonts w:cs="Times New Roman"/>
          <w:b/>
          <w:bCs/>
          <w:kern w:val="44"/>
          <w:sz w:val="32"/>
          <w:szCs w:val="44"/>
        </w:rPr>
        <w:lastRenderedPageBreak/>
        <w:t>3</w:t>
      </w:r>
      <w:r w:rsidRPr="0047228F">
        <w:rPr>
          <w:rFonts w:cs="Times New Roman" w:hint="eastAsia"/>
          <w:b/>
          <w:bCs/>
          <w:kern w:val="44"/>
          <w:sz w:val="32"/>
          <w:szCs w:val="44"/>
        </w:rPr>
        <w:t>土壤污染状况调查工作及调查结论</w:t>
      </w:r>
    </w:p>
    <w:p w14:paraId="2B1D88CD" w14:textId="48837040" w:rsidR="00B431F0" w:rsidRDefault="0047228F">
      <w:pPr>
        <w:keepNext/>
        <w:keepLines/>
        <w:spacing w:before="120" w:after="120" w:line="360" w:lineRule="auto"/>
        <w:ind w:firstLineChars="0" w:firstLine="0"/>
        <w:jc w:val="both"/>
        <w:outlineLvl w:val="1"/>
        <w:rPr>
          <w:rFonts w:cs="Times New Roman"/>
          <w:b/>
          <w:bCs/>
          <w:sz w:val="30"/>
          <w:szCs w:val="32"/>
        </w:rPr>
      </w:pPr>
      <w:bookmarkStart w:id="7" w:name="_Toc6384618"/>
      <w:bookmarkStart w:id="8" w:name="_Toc528071179"/>
      <w:bookmarkStart w:id="9" w:name="OLE_LINK255"/>
      <w:bookmarkStart w:id="10" w:name="OLE_LINK256"/>
      <w:r>
        <w:rPr>
          <w:rFonts w:cs="Times New Roman"/>
          <w:b/>
          <w:bCs/>
          <w:sz w:val="30"/>
          <w:szCs w:val="32"/>
        </w:rPr>
        <w:t>3</w:t>
      </w:r>
      <w:r w:rsidR="00507B22">
        <w:rPr>
          <w:rFonts w:cs="Times New Roman"/>
          <w:b/>
          <w:bCs/>
          <w:sz w:val="30"/>
          <w:szCs w:val="32"/>
        </w:rPr>
        <w:t>.1</w:t>
      </w:r>
      <w:r w:rsidR="00507B22">
        <w:rPr>
          <w:rFonts w:cs="Times New Roman" w:hint="eastAsia"/>
          <w:b/>
          <w:bCs/>
          <w:sz w:val="30"/>
          <w:szCs w:val="32"/>
        </w:rPr>
        <w:t>土壤样品分析评价结果</w:t>
      </w:r>
      <w:bookmarkEnd w:id="7"/>
      <w:bookmarkEnd w:id="8"/>
      <w:r>
        <w:rPr>
          <w:rFonts w:cs="Times New Roman" w:hint="eastAsia"/>
          <w:b/>
          <w:bCs/>
          <w:sz w:val="30"/>
          <w:szCs w:val="32"/>
        </w:rPr>
        <w:t>采样工作量</w:t>
      </w:r>
    </w:p>
    <w:p w14:paraId="2B8B6F35" w14:textId="3579105B" w:rsidR="0047228F" w:rsidRPr="0047228F" w:rsidRDefault="0047228F" w:rsidP="0047228F">
      <w:pPr>
        <w:spacing w:line="360" w:lineRule="auto"/>
        <w:ind w:firstLineChars="0" w:firstLine="480"/>
        <w:jc w:val="both"/>
        <w:rPr>
          <w:rFonts w:cs="Times New Roman"/>
        </w:rPr>
      </w:pPr>
      <w:r w:rsidRPr="0047228F">
        <w:rPr>
          <w:rFonts w:cs="Times New Roman"/>
        </w:rPr>
        <w:t>本次</w:t>
      </w:r>
      <w:r w:rsidRPr="0047228F">
        <w:rPr>
          <w:rFonts w:cs="Times New Roman" w:hint="eastAsia"/>
        </w:rPr>
        <w:t>芜湖</w:t>
      </w:r>
      <w:proofErr w:type="gramStart"/>
      <w:r w:rsidRPr="0047228F">
        <w:rPr>
          <w:rFonts w:cs="Times New Roman" w:hint="eastAsia"/>
        </w:rPr>
        <w:t>新兴铸</w:t>
      </w:r>
      <w:proofErr w:type="gramEnd"/>
      <w:r w:rsidRPr="0047228F">
        <w:rPr>
          <w:rFonts w:cs="Times New Roman" w:hint="eastAsia"/>
        </w:rPr>
        <w:t>管弋江老厂区</w:t>
      </w:r>
      <w:r w:rsidRPr="0047228F">
        <w:rPr>
          <w:rFonts w:cs="Times New Roman" w:hint="eastAsia"/>
        </w:rPr>
        <w:t>1</w:t>
      </w:r>
      <w:r w:rsidRPr="0047228F">
        <w:rPr>
          <w:rFonts w:cs="Times New Roman"/>
        </w:rPr>
        <w:t>2#</w:t>
      </w:r>
      <w:r w:rsidRPr="0047228F">
        <w:rPr>
          <w:rFonts w:cs="Times New Roman"/>
        </w:rPr>
        <w:t>地块调查过程中，共在地块内布设</w:t>
      </w:r>
      <w:r w:rsidRPr="0047228F">
        <w:rPr>
          <w:rFonts w:cs="Times New Roman"/>
        </w:rPr>
        <w:t>139</w:t>
      </w:r>
      <w:r w:rsidRPr="0047228F">
        <w:rPr>
          <w:rFonts w:cs="Times New Roman"/>
        </w:rPr>
        <w:t>个采样点位，共采集</w:t>
      </w:r>
      <w:r w:rsidRPr="0047228F">
        <w:rPr>
          <w:rFonts w:cs="Times New Roman"/>
        </w:rPr>
        <w:t>599</w:t>
      </w:r>
      <w:r w:rsidRPr="0047228F">
        <w:rPr>
          <w:rFonts w:cs="Times New Roman"/>
        </w:rPr>
        <w:t>份土壤样品，全部送检，最深调查深度为</w:t>
      </w:r>
      <w:r w:rsidRPr="0047228F">
        <w:rPr>
          <w:rFonts w:cs="Times New Roman"/>
        </w:rPr>
        <w:t>9m</w:t>
      </w:r>
      <w:r w:rsidRPr="0047228F">
        <w:rPr>
          <w:rFonts w:cs="Times New Roman"/>
        </w:rPr>
        <w:t>。地块内布设</w:t>
      </w:r>
      <w:r w:rsidRPr="0047228F">
        <w:rPr>
          <w:rFonts w:cs="Times New Roman"/>
        </w:rPr>
        <w:t>18</w:t>
      </w:r>
      <w:r w:rsidRPr="0047228F">
        <w:rPr>
          <w:rFonts w:cs="Times New Roman"/>
        </w:rPr>
        <w:t>口地下水调查点位，共采集</w:t>
      </w:r>
      <w:r w:rsidRPr="0047228F">
        <w:rPr>
          <w:rFonts w:cs="Times New Roman"/>
        </w:rPr>
        <w:t>22</w:t>
      </w:r>
      <w:r w:rsidRPr="0047228F">
        <w:rPr>
          <w:rFonts w:cs="Times New Roman"/>
        </w:rPr>
        <w:t>份地下水样品。此外调查期间发现场地内</w:t>
      </w:r>
      <w:r w:rsidRPr="0047228F">
        <w:rPr>
          <w:rFonts w:cs="Times New Roman" w:hint="eastAsia"/>
        </w:rPr>
        <w:t>有地表水体</w:t>
      </w:r>
      <w:r w:rsidRPr="0047228F">
        <w:rPr>
          <w:rFonts w:cs="Times New Roman"/>
        </w:rPr>
        <w:t>，采集了</w:t>
      </w:r>
      <w:r w:rsidRPr="0047228F">
        <w:rPr>
          <w:rFonts w:cs="Times New Roman"/>
        </w:rPr>
        <w:t>2</w:t>
      </w:r>
      <w:r w:rsidRPr="0047228F">
        <w:rPr>
          <w:rFonts w:cs="Times New Roman"/>
        </w:rPr>
        <w:t>份</w:t>
      </w:r>
      <w:r w:rsidRPr="0047228F">
        <w:rPr>
          <w:rFonts w:cs="Times New Roman" w:hint="eastAsia"/>
        </w:rPr>
        <w:t>地表</w:t>
      </w:r>
      <w:r w:rsidRPr="0047228F">
        <w:rPr>
          <w:rFonts w:cs="Times New Roman"/>
        </w:rPr>
        <w:t>水样品。</w:t>
      </w:r>
    </w:p>
    <w:p w14:paraId="1066F044" w14:textId="6A63AB38" w:rsidR="00B431F0" w:rsidRDefault="0047228F">
      <w:pPr>
        <w:keepNext/>
        <w:keepLines/>
        <w:spacing w:before="120" w:after="120" w:line="360" w:lineRule="auto"/>
        <w:ind w:firstLineChars="0" w:firstLine="0"/>
        <w:jc w:val="both"/>
        <w:outlineLvl w:val="1"/>
        <w:rPr>
          <w:rFonts w:cs="Times New Roman"/>
          <w:b/>
          <w:bCs/>
          <w:sz w:val="30"/>
          <w:szCs w:val="32"/>
        </w:rPr>
      </w:pPr>
      <w:bookmarkStart w:id="11" w:name="_Toc528071180"/>
      <w:bookmarkStart w:id="12" w:name="_Toc6384619"/>
      <w:r>
        <w:rPr>
          <w:rFonts w:cs="Times New Roman"/>
          <w:b/>
          <w:bCs/>
          <w:sz w:val="30"/>
          <w:szCs w:val="32"/>
        </w:rPr>
        <w:t>3</w:t>
      </w:r>
      <w:r w:rsidR="00507B22">
        <w:rPr>
          <w:rFonts w:cs="Times New Roman"/>
          <w:b/>
          <w:bCs/>
          <w:sz w:val="30"/>
          <w:szCs w:val="32"/>
        </w:rPr>
        <w:t>.2</w:t>
      </w:r>
      <w:bookmarkEnd w:id="11"/>
      <w:bookmarkEnd w:id="12"/>
      <w:r w:rsidR="0027688F">
        <w:rPr>
          <w:rFonts w:cs="Times New Roman" w:hint="eastAsia"/>
          <w:b/>
          <w:bCs/>
          <w:sz w:val="30"/>
          <w:szCs w:val="32"/>
        </w:rPr>
        <w:t>调查结论</w:t>
      </w:r>
    </w:p>
    <w:p w14:paraId="0CAC7205" w14:textId="044A1C3C" w:rsidR="0027688F" w:rsidRPr="007B08D7" w:rsidRDefault="0027688F" w:rsidP="007B08D7">
      <w:pPr>
        <w:pStyle w:val="3"/>
        <w:ind w:firstLineChars="62" w:firstLine="174"/>
        <w:rPr>
          <w:sz w:val="28"/>
          <w:szCs w:val="28"/>
        </w:rPr>
      </w:pPr>
      <w:r w:rsidRPr="007B08D7">
        <w:rPr>
          <w:rFonts w:hint="eastAsia"/>
          <w:sz w:val="28"/>
          <w:szCs w:val="28"/>
        </w:rPr>
        <w:t>3</w:t>
      </w:r>
      <w:r w:rsidRPr="007B08D7">
        <w:rPr>
          <w:sz w:val="28"/>
          <w:szCs w:val="28"/>
        </w:rPr>
        <w:t>.2.1</w:t>
      </w:r>
      <w:r w:rsidRPr="007B08D7">
        <w:rPr>
          <w:rFonts w:hint="eastAsia"/>
          <w:sz w:val="28"/>
          <w:szCs w:val="28"/>
        </w:rPr>
        <w:t>土壤调查结论</w:t>
      </w:r>
    </w:p>
    <w:p w14:paraId="0E1009AC" w14:textId="17FB313B" w:rsidR="0027688F" w:rsidRDefault="0027688F" w:rsidP="0027688F">
      <w:pPr>
        <w:spacing w:line="360" w:lineRule="auto"/>
        <w:ind w:firstLineChars="0" w:firstLine="480"/>
        <w:jc w:val="both"/>
        <w:rPr>
          <w:rFonts w:cs="Times New Roman"/>
        </w:rPr>
      </w:pPr>
      <w:r w:rsidRPr="0027688F">
        <w:rPr>
          <w:rFonts w:cs="Times New Roman"/>
        </w:rPr>
        <w:t>本次</w:t>
      </w:r>
      <w:r w:rsidRPr="0027688F">
        <w:rPr>
          <w:rFonts w:cs="Times New Roman" w:hint="eastAsia"/>
        </w:rPr>
        <w:t>芜湖</w:t>
      </w:r>
      <w:proofErr w:type="gramStart"/>
      <w:r w:rsidRPr="0027688F">
        <w:rPr>
          <w:rFonts w:cs="Times New Roman" w:hint="eastAsia"/>
        </w:rPr>
        <w:t>新兴铸</w:t>
      </w:r>
      <w:proofErr w:type="gramEnd"/>
      <w:r w:rsidRPr="0027688F">
        <w:rPr>
          <w:rFonts w:cs="Times New Roman" w:hint="eastAsia"/>
        </w:rPr>
        <w:t>管弋江老厂区</w:t>
      </w:r>
      <w:r w:rsidRPr="0027688F">
        <w:rPr>
          <w:rFonts w:cs="Times New Roman" w:hint="eastAsia"/>
        </w:rPr>
        <w:t>1</w:t>
      </w:r>
      <w:r>
        <w:rPr>
          <w:rFonts w:cs="Times New Roman"/>
        </w:rPr>
        <w:t>2</w:t>
      </w:r>
      <w:r w:rsidRPr="0027688F">
        <w:rPr>
          <w:rFonts w:cs="Times New Roman"/>
        </w:rPr>
        <w:t>#</w:t>
      </w:r>
      <w:r w:rsidRPr="0027688F">
        <w:rPr>
          <w:rFonts w:cs="Times New Roman"/>
        </w:rPr>
        <w:t>地块调查过程中，共在地块内布设</w:t>
      </w:r>
      <w:r>
        <w:rPr>
          <w:rFonts w:cs="Times New Roman"/>
        </w:rPr>
        <w:t>139</w:t>
      </w:r>
      <w:r w:rsidRPr="0027688F">
        <w:rPr>
          <w:rFonts w:cs="Times New Roman"/>
        </w:rPr>
        <w:t>个采样点位，共采集</w:t>
      </w:r>
      <w:r>
        <w:rPr>
          <w:rFonts w:cs="Times New Roman"/>
        </w:rPr>
        <w:t>599</w:t>
      </w:r>
      <w:r w:rsidRPr="0027688F">
        <w:rPr>
          <w:rFonts w:cs="Times New Roman"/>
        </w:rPr>
        <w:t>份土壤样品，全部送检，最深调查深度为</w:t>
      </w:r>
      <w:r>
        <w:rPr>
          <w:rFonts w:cs="Times New Roman"/>
        </w:rPr>
        <w:t>9</w:t>
      </w:r>
      <w:r w:rsidRPr="0027688F">
        <w:rPr>
          <w:rFonts w:cs="Times New Roman"/>
        </w:rPr>
        <w:t>m</w:t>
      </w:r>
      <w:r w:rsidRPr="0027688F">
        <w:rPr>
          <w:rFonts w:cs="Times New Roman"/>
        </w:rPr>
        <w:t>。</w:t>
      </w:r>
      <w:r w:rsidRPr="0027688F">
        <w:rPr>
          <w:rFonts w:cs="Times New Roman" w:hint="eastAsia"/>
        </w:rPr>
        <w:t>其中</w:t>
      </w:r>
      <w:r>
        <w:rPr>
          <w:rFonts w:cs="Times New Roman"/>
        </w:rPr>
        <w:t>22</w:t>
      </w:r>
      <w:r w:rsidRPr="0027688F">
        <w:rPr>
          <w:rFonts w:cs="Times New Roman" w:hint="eastAsia"/>
        </w:rPr>
        <w:t>个调查点位（</w:t>
      </w:r>
      <w:r>
        <w:rPr>
          <w:rFonts w:cs="Times New Roman"/>
        </w:rPr>
        <w:t>33</w:t>
      </w:r>
      <w:r w:rsidRPr="0027688F">
        <w:rPr>
          <w:rFonts w:cs="Times New Roman" w:hint="eastAsia"/>
        </w:rPr>
        <w:t>份土壤样品）超出筛选标准值，涉及的污染为包括</w:t>
      </w:r>
      <w:bookmarkStart w:id="13" w:name="OLE_LINK286"/>
      <w:r w:rsidRPr="0027688F">
        <w:rPr>
          <w:rFonts w:cs="Times New Roman"/>
        </w:rPr>
        <w:t>铅、砷、铊、苯并</w:t>
      </w:r>
      <w:r w:rsidRPr="0027688F">
        <w:rPr>
          <w:rFonts w:cs="Times New Roman"/>
        </w:rPr>
        <w:t>[a]</w:t>
      </w:r>
      <w:proofErr w:type="gramStart"/>
      <w:r w:rsidRPr="0027688F">
        <w:rPr>
          <w:rFonts w:cs="Times New Roman"/>
        </w:rPr>
        <w:t>芘</w:t>
      </w:r>
      <w:proofErr w:type="gramEnd"/>
      <w:r w:rsidRPr="0027688F">
        <w:rPr>
          <w:rFonts w:cs="Times New Roman"/>
        </w:rPr>
        <w:t>、二苯并</w:t>
      </w:r>
      <w:r w:rsidRPr="0027688F">
        <w:rPr>
          <w:rFonts w:cs="Times New Roman"/>
        </w:rPr>
        <w:t>[</w:t>
      </w:r>
      <w:proofErr w:type="spellStart"/>
      <w:r w:rsidRPr="0027688F">
        <w:rPr>
          <w:rFonts w:cs="Times New Roman"/>
        </w:rPr>
        <w:t>a,h</w:t>
      </w:r>
      <w:proofErr w:type="spellEnd"/>
      <w:r w:rsidRPr="0027688F">
        <w:rPr>
          <w:rFonts w:cs="Times New Roman"/>
        </w:rPr>
        <w:t>]</w:t>
      </w:r>
      <w:proofErr w:type="gramStart"/>
      <w:r w:rsidRPr="0027688F">
        <w:rPr>
          <w:rFonts w:cs="Times New Roman"/>
        </w:rPr>
        <w:t>蒽</w:t>
      </w:r>
      <w:proofErr w:type="gramEnd"/>
      <w:r w:rsidRPr="0027688F">
        <w:rPr>
          <w:rFonts w:cs="Times New Roman"/>
        </w:rPr>
        <w:t>和苯并</w:t>
      </w:r>
      <w:r w:rsidRPr="0027688F">
        <w:rPr>
          <w:rFonts w:cs="Times New Roman"/>
        </w:rPr>
        <w:t>[b]</w:t>
      </w:r>
      <w:proofErr w:type="gramStart"/>
      <w:r w:rsidRPr="0027688F">
        <w:rPr>
          <w:rFonts w:cs="Times New Roman"/>
        </w:rPr>
        <w:t>荧蒽</w:t>
      </w:r>
      <w:bookmarkEnd w:id="13"/>
      <w:proofErr w:type="gramEnd"/>
      <w:r>
        <w:rPr>
          <w:rFonts w:cs="Times New Roman" w:hint="eastAsia"/>
        </w:rPr>
        <w:t>。</w:t>
      </w:r>
    </w:p>
    <w:p w14:paraId="7F23E66D" w14:textId="5EA3207F" w:rsidR="0027688F" w:rsidRPr="007B08D7" w:rsidRDefault="0027688F" w:rsidP="007B08D7">
      <w:pPr>
        <w:pStyle w:val="3"/>
        <w:ind w:firstLineChars="62" w:firstLine="174"/>
        <w:rPr>
          <w:sz w:val="28"/>
          <w:szCs w:val="28"/>
        </w:rPr>
      </w:pPr>
      <w:r w:rsidRPr="007B08D7">
        <w:rPr>
          <w:rFonts w:hint="eastAsia"/>
          <w:sz w:val="28"/>
          <w:szCs w:val="28"/>
        </w:rPr>
        <w:t>3</w:t>
      </w:r>
      <w:r w:rsidRPr="007B08D7">
        <w:rPr>
          <w:sz w:val="28"/>
          <w:szCs w:val="28"/>
        </w:rPr>
        <w:t>.2.2</w:t>
      </w:r>
      <w:r w:rsidRPr="007B08D7">
        <w:rPr>
          <w:rFonts w:hint="eastAsia"/>
          <w:sz w:val="28"/>
          <w:szCs w:val="28"/>
        </w:rPr>
        <w:t>地下水调查结论</w:t>
      </w:r>
    </w:p>
    <w:p w14:paraId="1A9C743C" w14:textId="167D7497" w:rsidR="0027688F" w:rsidRDefault="0027688F" w:rsidP="0027688F">
      <w:pPr>
        <w:spacing w:line="360" w:lineRule="auto"/>
        <w:ind w:firstLineChars="0" w:firstLine="480"/>
        <w:jc w:val="both"/>
        <w:rPr>
          <w:rFonts w:cs="Times New Roman"/>
        </w:rPr>
      </w:pPr>
      <w:r w:rsidRPr="0027688F">
        <w:rPr>
          <w:rFonts w:cs="Times New Roman" w:hint="eastAsia"/>
        </w:rPr>
        <w:t>本次芜湖</w:t>
      </w:r>
      <w:proofErr w:type="gramStart"/>
      <w:r w:rsidRPr="0027688F">
        <w:rPr>
          <w:rFonts w:cs="Times New Roman" w:hint="eastAsia"/>
        </w:rPr>
        <w:t>新兴铸</w:t>
      </w:r>
      <w:proofErr w:type="gramEnd"/>
      <w:r w:rsidRPr="0027688F">
        <w:rPr>
          <w:rFonts w:cs="Times New Roman" w:hint="eastAsia"/>
        </w:rPr>
        <w:t>管弋江老厂区</w:t>
      </w:r>
      <w:r w:rsidRPr="0027688F">
        <w:rPr>
          <w:rFonts w:cs="Times New Roman" w:hint="eastAsia"/>
        </w:rPr>
        <w:t>1</w:t>
      </w:r>
      <w:r>
        <w:rPr>
          <w:rFonts w:cs="Times New Roman"/>
        </w:rPr>
        <w:t>2</w:t>
      </w:r>
      <w:r w:rsidRPr="0027688F">
        <w:rPr>
          <w:rFonts w:cs="Times New Roman" w:hint="eastAsia"/>
        </w:rPr>
        <w:t>#</w:t>
      </w:r>
      <w:r w:rsidRPr="0027688F">
        <w:rPr>
          <w:rFonts w:cs="Times New Roman" w:hint="eastAsia"/>
        </w:rPr>
        <w:t>地块调查过程中，共在地块内布设</w:t>
      </w:r>
      <w:r w:rsidRPr="0027688F">
        <w:rPr>
          <w:rFonts w:cs="Times New Roman" w:hint="eastAsia"/>
        </w:rPr>
        <w:t>18</w:t>
      </w:r>
      <w:r w:rsidRPr="0027688F">
        <w:rPr>
          <w:rFonts w:cs="Times New Roman" w:hint="eastAsia"/>
        </w:rPr>
        <w:t>口地下水调查点位，全部送检。其中</w:t>
      </w:r>
      <w:r>
        <w:rPr>
          <w:rFonts w:cs="Times New Roman"/>
        </w:rPr>
        <w:t>8</w:t>
      </w:r>
      <w:r w:rsidRPr="0027688F">
        <w:rPr>
          <w:rFonts w:cs="Times New Roman" w:hint="eastAsia"/>
        </w:rPr>
        <w:t>个地下水监测井存在污染物超标，超标污染物为铊、氰化物、氟化物和石油烃。</w:t>
      </w:r>
    </w:p>
    <w:p w14:paraId="2D12E449" w14:textId="6D663C37" w:rsidR="0027688F" w:rsidRPr="007B08D7" w:rsidRDefault="0027688F" w:rsidP="007B08D7">
      <w:pPr>
        <w:pStyle w:val="3"/>
        <w:ind w:firstLineChars="62" w:firstLine="174"/>
        <w:rPr>
          <w:sz w:val="28"/>
          <w:szCs w:val="28"/>
        </w:rPr>
      </w:pPr>
      <w:r w:rsidRPr="007B08D7">
        <w:rPr>
          <w:rFonts w:hint="eastAsia"/>
          <w:sz w:val="28"/>
          <w:szCs w:val="28"/>
        </w:rPr>
        <w:t>3</w:t>
      </w:r>
      <w:r w:rsidRPr="007B08D7">
        <w:rPr>
          <w:sz w:val="28"/>
          <w:szCs w:val="28"/>
        </w:rPr>
        <w:t>.2.3</w:t>
      </w:r>
      <w:r w:rsidRPr="007B08D7">
        <w:rPr>
          <w:rFonts w:hint="eastAsia"/>
          <w:sz w:val="28"/>
          <w:szCs w:val="28"/>
        </w:rPr>
        <w:t>残余积水调查结论</w:t>
      </w:r>
    </w:p>
    <w:p w14:paraId="68B6DECC" w14:textId="0AFCDCB8" w:rsidR="008760FB" w:rsidRDefault="0027688F" w:rsidP="008760FB">
      <w:pPr>
        <w:spacing w:line="360" w:lineRule="auto"/>
        <w:ind w:firstLineChars="0" w:firstLine="480"/>
        <w:jc w:val="both"/>
        <w:rPr>
          <w:rFonts w:cs="Times New Roman"/>
        </w:rPr>
      </w:pPr>
      <w:r w:rsidRPr="008760FB">
        <w:rPr>
          <w:rFonts w:cs="Times New Roman"/>
        </w:rPr>
        <w:t>地块内采集了</w:t>
      </w:r>
      <w:r w:rsidRPr="008760FB">
        <w:rPr>
          <w:rFonts w:cs="Times New Roman"/>
        </w:rPr>
        <w:t>2</w:t>
      </w:r>
      <w:r w:rsidRPr="008760FB">
        <w:rPr>
          <w:rFonts w:cs="Times New Roman"/>
        </w:rPr>
        <w:t>份地表水样品，经检测分析，仅氟化物有检出，其余均未检出。地表水（</w:t>
      </w:r>
      <w:r w:rsidRPr="008760FB">
        <w:rPr>
          <w:rFonts w:cs="Times New Roman"/>
        </w:rPr>
        <w:t>W1</w:t>
      </w:r>
      <w:r w:rsidRPr="008760FB">
        <w:rPr>
          <w:rFonts w:cs="Times New Roman"/>
        </w:rPr>
        <w:t>）检测指标氟化物达到《地表水环境质量标准》（</w:t>
      </w:r>
      <w:r w:rsidRPr="008760FB">
        <w:rPr>
          <w:rFonts w:cs="Times New Roman"/>
        </w:rPr>
        <w:t>GB3838-2002</w:t>
      </w:r>
      <w:r w:rsidR="008760FB" w:rsidRPr="008760FB">
        <w:rPr>
          <w:rFonts w:cs="Times New Roman"/>
        </w:rPr>
        <w:t>）</w:t>
      </w:r>
      <w:r w:rsidR="008760FB" w:rsidRPr="008760FB">
        <w:rPr>
          <w:rFonts w:cs="Times New Roman"/>
        </w:rPr>
        <w:t>Ⅰ</w:t>
      </w:r>
      <w:r w:rsidR="008760FB" w:rsidRPr="008760FB">
        <w:rPr>
          <w:rFonts w:cs="Times New Roman"/>
        </w:rPr>
        <w:t>类水质标准。</w:t>
      </w:r>
    </w:p>
    <w:p w14:paraId="48F797B8" w14:textId="43A31D40" w:rsidR="0047228F" w:rsidRDefault="0047228F" w:rsidP="0047228F">
      <w:pPr>
        <w:keepNext/>
        <w:keepLines/>
        <w:spacing w:before="120" w:after="120" w:line="360" w:lineRule="auto"/>
        <w:ind w:firstLineChars="0" w:firstLine="0"/>
        <w:jc w:val="both"/>
        <w:outlineLvl w:val="0"/>
        <w:rPr>
          <w:rFonts w:cs="Times New Roman"/>
          <w:b/>
          <w:bCs/>
          <w:kern w:val="44"/>
          <w:sz w:val="32"/>
          <w:szCs w:val="44"/>
        </w:rPr>
      </w:pPr>
      <w:r>
        <w:rPr>
          <w:rFonts w:cs="Times New Roman"/>
          <w:b/>
          <w:bCs/>
          <w:kern w:val="44"/>
          <w:sz w:val="32"/>
          <w:szCs w:val="44"/>
        </w:rPr>
        <w:lastRenderedPageBreak/>
        <w:t>4</w:t>
      </w:r>
      <w:r>
        <w:rPr>
          <w:rFonts w:cs="Times New Roman" w:hint="eastAsia"/>
          <w:b/>
          <w:bCs/>
          <w:kern w:val="44"/>
          <w:sz w:val="32"/>
          <w:szCs w:val="44"/>
        </w:rPr>
        <w:t>风险评估</w:t>
      </w:r>
      <w:r w:rsidR="0027688F">
        <w:rPr>
          <w:rFonts w:cs="Times New Roman" w:hint="eastAsia"/>
          <w:b/>
          <w:bCs/>
          <w:kern w:val="44"/>
          <w:sz w:val="32"/>
          <w:szCs w:val="44"/>
        </w:rPr>
        <w:t>结论</w:t>
      </w:r>
    </w:p>
    <w:p w14:paraId="024090A5" w14:textId="281D0AB1" w:rsidR="0027688F" w:rsidRDefault="0027688F" w:rsidP="0027688F">
      <w:pPr>
        <w:spacing w:line="360" w:lineRule="auto"/>
        <w:ind w:firstLineChars="0" w:firstLine="480"/>
        <w:jc w:val="both"/>
        <w:rPr>
          <w:rFonts w:cs="Times New Roman"/>
        </w:rPr>
      </w:pPr>
      <w:r w:rsidRPr="0027688F">
        <w:rPr>
          <w:rFonts w:cs="Times New Roman"/>
        </w:rPr>
        <w:t>本次风险评估是针对调查区块的</w:t>
      </w:r>
      <w:proofErr w:type="gramStart"/>
      <w:r w:rsidRPr="0027688F">
        <w:rPr>
          <w:rFonts w:cs="Times New Roman"/>
        </w:rPr>
        <w:t>原场风险</w:t>
      </w:r>
      <w:proofErr w:type="gramEnd"/>
      <w:r w:rsidRPr="0027688F">
        <w:rPr>
          <w:rFonts w:cs="Times New Roman"/>
        </w:rPr>
        <w:t>评估。根据《土壤环境质量</w:t>
      </w:r>
      <w:r w:rsidRPr="0027688F">
        <w:rPr>
          <w:rFonts w:cs="Times New Roman"/>
        </w:rPr>
        <w:t xml:space="preserve"> </w:t>
      </w:r>
      <w:r w:rsidRPr="0027688F">
        <w:rPr>
          <w:rFonts w:cs="Times New Roman"/>
        </w:rPr>
        <w:t>建设用地土壤污染风险管控标准（试行）》（</w:t>
      </w:r>
      <w:r w:rsidRPr="0027688F">
        <w:rPr>
          <w:rFonts w:cs="Times New Roman"/>
        </w:rPr>
        <w:t>GB 36600-2018</w:t>
      </w:r>
      <w:r w:rsidRPr="0027688F">
        <w:rPr>
          <w:rFonts w:cs="Times New Roman"/>
        </w:rPr>
        <w:t>）的要求，依据目前出台的规划文件，地块所在地拟规划用地类型为</w:t>
      </w:r>
      <w:r w:rsidRPr="0027688F">
        <w:rPr>
          <w:rFonts w:cs="Times New Roman" w:hint="eastAsia"/>
        </w:rPr>
        <w:t>一</w:t>
      </w:r>
      <w:r w:rsidRPr="0027688F">
        <w:rPr>
          <w:rFonts w:cs="Times New Roman"/>
        </w:rPr>
        <w:t>类用地中的</w:t>
      </w:r>
      <w:r w:rsidRPr="0027688F">
        <w:rPr>
          <w:rFonts w:cs="Times New Roman" w:hint="eastAsia"/>
        </w:rPr>
        <w:t>居住用地和中小学用地</w:t>
      </w:r>
      <w:r w:rsidRPr="0027688F">
        <w:rPr>
          <w:rFonts w:cs="Times New Roman"/>
        </w:rPr>
        <w:t>。</w:t>
      </w:r>
    </w:p>
    <w:p w14:paraId="32177B8F" w14:textId="29F835C0" w:rsidR="0027688F" w:rsidRDefault="007B08D7" w:rsidP="0027688F">
      <w:pPr>
        <w:keepNext/>
        <w:keepLines/>
        <w:spacing w:before="120" w:after="120" w:line="360" w:lineRule="auto"/>
        <w:ind w:firstLineChars="0" w:firstLine="0"/>
        <w:jc w:val="both"/>
        <w:outlineLvl w:val="1"/>
        <w:rPr>
          <w:rFonts w:cs="Times New Roman"/>
          <w:b/>
          <w:bCs/>
          <w:sz w:val="30"/>
          <w:szCs w:val="32"/>
        </w:rPr>
      </w:pPr>
      <w:r>
        <w:rPr>
          <w:rFonts w:cs="Times New Roman"/>
          <w:b/>
          <w:bCs/>
          <w:sz w:val="30"/>
          <w:szCs w:val="32"/>
        </w:rPr>
        <w:t>4</w:t>
      </w:r>
      <w:r w:rsidR="0027688F">
        <w:rPr>
          <w:rFonts w:cs="Times New Roman"/>
          <w:b/>
          <w:bCs/>
          <w:sz w:val="30"/>
          <w:szCs w:val="32"/>
        </w:rPr>
        <w:t>.</w:t>
      </w:r>
      <w:r>
        <w:rPr>
          <w:rFonts w:cs="Times New Roman"/>
          <w:b/>
          <w:bCs/>
          <w:sz w:val="30"/>
          <w:szCs w:val="32"/>
        </w:rPr>
        <w:t>1</w:t>
      </w:r>
      <w:r w:rsidR="0027688F">
        <w:rPr>
          <w:rFonts w:cs="Times New Roman" w:hint="eastAsia"/>
          <w:b/>
          <w:bCs/>
          <w:sz w:val="30"/>
          <w:szCs w:val="32"/>
        </w:rPr>
        <w:t>土壤评估结果</w:t>
      </w:r>
    </w:p>
    <w:p w14:paraId="01F9B5C8" w14:textId="32AFB082" w:rsidR="0027688F" w:rsidRDefault="0027688F" w:rsidP="0027688F">
      <w:pPr>
        <w:spacing w:line="360" w:lineRule="auto"/>
        <w:ind w:firstLineChars="0" w:firstLine="480"/>
        <w:jc w:val="both"/>
        <w:rPr>
          <w:rFonts w:cs="Times New Roman"/>
        </w:rPr>
      </w:pPr>
      <w:r w:rsidRPr="0027688F">
        <w:rPr>
          <w:rFonts w:cs="Times New Roman"/>
        </w:rPr>
        <w:t>按照未来规划用地的地块概念模型进行风险评估，通过计算本地块土壤污染的人体健康风险可知，土壤</w:t>
      </w:r>
      <w:r w:rsidRPr="0027688F">
        <w:rPr>
          <w:rFonts w:cs="Times New Roman" w:hint="eastAsia"/>
        </w:rPr>
        <w:t>中铅、</w:t>
      </w:r>
      <w:r w:rsidRPr="0027688F">
        <w:rPr>
          <w:rFonts w:cs="Times New Roman"/>
        </w:rPr>
        <w:t>砷、铊、苯并</w:t>
      </w:r>
      <w:r w:rsidRPr="0027688F">
        <w:rPr>
          <w:rFonts w:cs="Times New Roman"/>
        </w:rPr>
        <w:t>[a]</w:t>
      </w:r>
      <w:proofErr w:type="gramStart"/>
      <w:r w:rsidRPr="0027688F">
        <w:rPr>
          <w:rFonts w:cs="Times New Roman"/>
        </w:rPr>
        <w:t>芘</w:t>
      </w:r>
      <w:proofErr w:type="gramEnd"/>
      <w:r w:rsidRPr="0027688F">
        <w:rPr>
          <w:rFonts w:cs="Times New Roman"/>
        </w:rPr>
        <w:t>、苯并</w:t>
      </w:r>
      <w:r w:rsidRPr="0027688F">
        <w:rPr>
          <w:rFonts w:cs="Times New Roman"/>
        </w:rPr>
        <w:t>[b]</w:t>
      </w:r>
      <w:proofErr w:type="gramStart"/>
      <w:r w:rsidRPr="0027688F">
        <w:rPr>
          <w:rFonts w:cs="Times New Roman"/>
        </w:rPr>
        <w:t>荧蒽</w:t>
      </w:r>
      <w:proofErr w:type="gramEnd"/>
      <w:r w:rsidRPr="0027688F">
        <w:rPr>
          <w:rFonts w:cs="Times New Roman"/>
        </w:rPr>
        <w:t>和二苯并</w:t>
      </w:r>
      <w:r w:rsidRPr="0027688F">
        <w:rPr>
          <w:rFonts w:cs="Times New Roman"/>
        </w:rPr>
        <w:t>[</w:t>
      </w:r>
      <w:proofErr w:type="spellStart"/>
      <w:r w:rsidRPr="0027688F">
        <w:rPr>
          <w:rFonts w:cs="Times New Roman"/>
        </w:rPr>
        <w:t>a,h</w:t>
      </w:r>
      <w:proofErr w:type="spellEnd"/>
      <w:r w:rsidRPr="0027688F">
        <w:rPr>
          <w:rFonts w:cs="Times New Roman"/>
        </w:rPr>
        <w:t>]</w:t>
      </w:r>
      <w:proofErr w:type="gramStart"/>
      <w:r w:rsidRPr="0027688F">
        <w:rPr>
          <w:rFonts w:cs="Times New Roman"/>
        </w:rPr>
        <w:t>蒽</w:t>
      </w:r>
      <w:proofErr w:type="gramEnd"/>
      <w:r w:rsidRPr="0027688F">
        <w:rPr>
          <w:rFonts w:cs="Times New Roman"/>
        </w:rPr>
        <w:t>这</w:t>
      </w:r>
      <w:r w:rsidRPr="0027688F">
        <w:rPr>
          <w:rFonts w:cs="Times New Roman" w:hint="eastAsia"/>
        </w:rPr>
        <w:t>六</w:t>
      </w:r>
      <w:r w:rsidRPr="0027688F">
        <w:rPr>
          <w:rFonts w:cs="Times New Roman"/>
        </w:rPr>
        <w:t>种污染物风险不可接受。</w:t>
      </w:r>
    </w:p>
    <w:p w14:paraId="19133D93" w14:textId="331F24AB" w:rsidR="0027688F" w:rsidRPr="0027688F" w:rsidRDefault="007B08D7" w:rsidP="0027688F">
      <w:pPr>
        <w:keepNext/>
        <w:keepLines/>
        <w:spacing w:before="120" w:after="120" w:line="360" w:lineRule="auto"/>
        <w:ind w:firstLineChars="0" w:firstLine="0"/>
        <w:jc w:val="both"/>
        <w:outlineLvl w:val="1"/>
        <w:rPr>
          <w:rFonts w:cs="Times New Roman"/>
          <w:b/>
          <w:bCs/>
          <w:sz w:val="30"/>
          <w:szCs w:val="32"/>
        </w:rPr>
      </w:pPr>
      <w:r>
        <w:rPr>
          <w:rFonts w:cs="Times New Roman"/>
          <w:b/>
          <w:bCs/>
          <w:sz w:val="30"/>
          <w:szCs w:val="32"/>
        </w:rPr>
        <w:t>4</w:t>
      </w:r>
      <w:r w:rsidR="0027688F">
        <w:rPr>
          <w:rFonts w:cs="Times New Roman"/>
          <w:b/>
          <w:bCs/>
          <w:sz w:val="30"/>
          <w:szCs w:val="32"/>
        </w:rPr>
        <w:t>.2</w:t>
      </w:r>
      <w:r w:rsidR="0027688F">
        <w:rPr>
          <w:rFonts w:cs="Times New Roman" w:hint="eastAsia"/>
          <w:b/>
          <w:bCs/>
          <w:sz w:val="30"/>
          <w:szCs w:val="32"/>
        </w:rPr>
        <w:t>地下水评估结果</w:t>
      </w:r>
    </w:p>
    <w:p w14:paraId="161FCD11" w14:textId="68C8096D" w:rsidR="0027688F" w:rsidRPr="0027688F" w:rsidRDefault="0027688F" w:rsidP="0027688F">
      <w:pPr>
        <w:spacing w:line="360" w:lineRule="auto"/>
        <w:ind w:firstLineChars="0" w:firstLine="480"/>
        <w:jc w:val="both"/>
        <w:rPr>
          <w:rFonts w:cs="Times New Roman"/>
        </w:rPr>
      </w:pPr>
      <w:r w:rsidRPr="0027688F">
        <w:rPr>
          <w:rFonts w:cs="Times New Roman"/>
        </w:rPr>
        <w:t>地下水：按照未来规划用地的地块概念模型进行风险评估，通过计算本地块</w:t>
      </w:r>
      <w:r w:rsidRPr="0027688F">
        <w:rPr>
          <w:rFonts w:cs="Times New Roman" w:hint="eastAsia"/>
        </w:rPr>
        <w:t>地下水</w:t>
      </w:r>
      <w:r w:rsidRPr="0027688F">
        <w:rPr>
          <w:rFonts w:cs="Times New Roman"/>
        </w:rPr>
        <w:t>污染的人体健康风险可知，</w:t>
      </w:r>
      <w:r w:rsidRPr="0027688F">
        <w:rPr>
          <w:rFonts w:cs="Times New Roman" w:hint="eastAsia"/>
        </w:rPr>
        <w:t>地下水</w:t>
      </w:r>
      <w:r w:rsidRPr="0027688F">
        <w:rPr>
          <w:rFonts w:cs="Times New Roman"/>
        </w:rPr>
        <w:t>风险可接受。</w:t>
      </w:r>
    </w:p>
    <w:p w14:paraId="394A4ADD" w14:textId="052B5446" w:rsidR="00B431F0" w:rsidRDefault="00507B22">
      <w:pPr>
        <w:keepNext/>
        <w:keepLines/>
        <w:spacing w:before="120" w:after="120" w:line="360" w:lineRule="auto"/>
        <w:ind w:firstLineChars="0" w:firstLine="0"/>
        <w:jc w:val="both"/>
        <w:outlineLvl w:val="0"/>
        <w:rPr>
          <w:rFonts w:cs="Times New Roman"/>
          <w:b/>
          <w:bCs/>
          <w:kern w:val="44"/>
          <w:sz w:val="32"/>
          <w:szCs w:val="44"/>
        </w:rPr>
      </w:pPr>
      <w:bookmarkStart w:id="14" w:name="_Toc528071186"/>
      <w:bookmarkStart w:id="15" w:name="_Toc6384622"/>
      <w:bookmarkEnd w:id="9"/>
      <w:bookmarkEnd w:id="10"/>
      <w:r>
        <w:rPr>
          <w:rFonts w:cs="Times New Roman"/>
          <w:b/>
          <w:bCs/>
          <w:kern w:val="44"/>
          <w:sz w:val="32"/>
          <w:szCs w:val="44"/>
        </w:rPr>
        <w:t>5</w:t>
      </w:r>
      <w:r w:rsidR="0027688F">
        <w:rPr>
          <w:rFonts w:cs="Times New Roman" w:hint="eastAsia"/>
          <w:b/>
          <w:bCs/>
          <w:kern w:val="44"/>
          <w:sz w:val="32"/>
          <w:szCs w:val="44"/>
        </w:rPr>
        <w:t>修复范围</w:t>
      </w:r>
      <w:r>
        <w:rPr>
          <w:rFonts w:cs="Times New Roman" w:hint="eastAsia"/>
          <w:b/>
          <w:bCs/>
          <w:kern w:val="44"/>
          <w:sz w:val="32"/>
          <w:szCs w:val="44"/>
        </w:rPr>
        <w:t>和建议</w:t>
      </w:r>
      <w:bookmarkEnd w:id="14"/>
      <w:bookmarkEnd w:id="15"/>
    </w:p>
    <w:p w14:paraId="1CD8ED8A" w14:textId="21B255AB" w:rsidR="0027688F" w:rsidRPr="0027688F" w:rsidRDefault="007B08D7" w:rsidP="0027688F">
      <w:pPr>
        <w:keepNext/>
        <w:keepLines/>
        <w:spacing w:before="120" w:after="120" w:line="360" w:lineRule="auto"/>
        <w:ind w:firstLineChars="0" w:firstLine="0"/>
        <w:jc w:val="both"/>
        <w:outlineLvl w:val="1"/>
        <w:rPr>
          <w:rFonts w:cs="Times New Roman"/>
          <w:b/>
          <w:bCs/>
          <w:sz w:val="30"/>
          <w:szCs w:val="32"/>
        </w:rPr>
      </w:pPr>
      <w:r>
        <w:rPr>
          <w:rFonts w:cs="Times New Roman"/>
          <w:b/>
          <w:bCs/>
          <w:sz w:val="30"/>
          <w:szCs w:val="32"/>
        </w:rPr>
        <w:t>5.1</w:t>
      </w:r>
      <w:r w:rsidR="0027688F">
        <w:rPr>
          <w:rFonts w:cs="Times New Roman" w:hint="eastAsia"/>
          <w:b/>
          <w:bCs/>
          <w:sz w:val="30"/>
          <w:szCs w:val="32"/>
        </w:rPr>
        <w:t>修复范围</w:t>
      </w:r>
    </w:p>
    <w:p w14:paraId="0B95D7F5" w14:textId="388EAF97" w:rsidR="0027688F" w:rsidRPr="0027688F" w:rsidRDefault="0027688F" w:rsidP="0027688F">
      <w:pPr>
        <w:spacing w:line="360" w:lineRule="auto"/>
        <w:ind w:firstLineChars="0" w:firstLine="480"/>
        <w:jc w:val="both"/>
        <w:rPr>
          <w:rFonts w:cs="Times New Roman"/>
        </w:rPr>
      </w:pPr>
      <w:r w:rsidRPr="0027688F">
        <w:rPr>
          <w:rFonts w:cs="Times New Roman"/>
        </w:rPr>
        <w:t>根据土壤修复目标污染物及目标值，提出规划用地方式下需进行土壤修复的面积</w:t>
      </w:r>
      <w:r w:rsidRPr="0027688F">
        <w:rPr>
          <w:rFonts w:cs="Times New Roman" w:hint="eastAsia"/>
        </w:rPr>
        <w:t>4441.33m</w:t>
      </w:r>
      <w:r w:rsidRPr="0027688F">
        <w:rPr>
          <w:rFonts w:cs="Times New Roman" w:hint="eastAsia"/>
          <w:vertAlign w:val="superscript"/>
        </w:rPr>
        <w:t>2</w:t>
      </w:r>
      <w:r w:rsidRPr="0027688F">
        <w:rPr>
          <w:rFonts w:cs="Times New Roman" w:hint="eastAsia"/>
        </w:rPr>
        <w:t>，修复土方量</w:t>
      </w:r>
      <w:r w:rsidRPr="0027688F">
        <w:rPr>
          <w:rFonts w:cs="Times New Roman" w:hint="eastAsia"/>
        </w:rPr>
        <w:t>21744.94 m</w:t>
      </w:r>
      <w:r w:rsidRPr="0027688F">
        <w:rPr>
          <w:rFonts w:cs="Times New Roman" w:hint="eastAsia"/>
          <w:vertAlign w:val="superscript"/>
        </w:rPr>
        <w:t>3</w:t>
      </w:r>
      <w:r w:rsidRPr="0027688F">
        <w:rPr>
          <w:rFonts w:cs="Times New Roman" w:hint="eastAsia"/>
        </w:rPr>
        <w:t>。</w:t>
      </w:r>
    </w:p>
    <w:p w14:paraId="0E8A8389" w14:textId="313322BD" w:rsidR="0027688F" w:rsidRPr="0027688F" w:rsidRDefault="007B08D7" w:rsidP="0027688F">
      <w:pPr>
        <w:keepNext/>
        <w:keepLines/>
        <w:spacing w:before="120" w:after="120" w:line="360" w:lineRule="auto"/>
        <w:ind w:firstLineChars="0" w:firstLine="0"/>
        <w:jc w:val="both"/>
        <w:outlineLvl w:val="1"/>
        <w:rPr>
          <w:rFonts w:cs="Times New Roman"/>
          <w:b/>
          <w:bCs/>
          <w:sz w:val="30"/>
          <w:szCs w:val="32"/>
        </w:rPr>
      </w:pPr>
      <w:r>
        <w:rPr>
          <w:rFonts w:cs="Times New Roman"/>
          <w:b/>
          <w:bCs/>
          <w:sz w:val="30"/>
          <w:szCs w:val="32"/>
        </w:rPr>
        <w:t>5</w:t>
      </w:r>
      <w:r w:rsidR="0027688F">
        <w:rPr>
          <w:rFonts w:cs="Times New Roman"/>
          <w:b/>
          <w:bCs/>
          <w:sz w:val="30"/>
          <w:szCs w:val="32"/>
        </w:rPr>
        <w:t>.2</w:t>
      </w:r>
      <w:r w:rsidR="0027688F">
        <w:rPr>
          <w:rFonts w:cs="Times New Roman" w:hint="eastAsia"/>
          <w:b/>
          <w:bCs/>
          <w:sz w:val="30"/>
          <w:szCs w:val="32"/>
        </w:rPr>
        <w:t>建议</w:t>
      </w:r>
    </w:p>
    <w:p w14:paraId="72E4D4B7" w14:textId="77777777" w:rsidR="0027688F" w:rsidRPr="0027688F" w:rsidRDefault="0027688F" w:rsidP="0027688F">
      <w:pPr>
        <w:spacing w:line="360" w:lineRule="auto"/>
        <w:ind w:firstLineChars="0" w:firstLine="480"/>
        <w:jc w:val="both"/>
        <w:rPr>
          <w:rFonts w:cs="Times New Roman"/>
        </w:rPr>
      </w:pPr>
      <w:r w:rsidRPr="0027688F">
        <w:rPr>
          <w:rFonts w:cs="Times New Roman"/>
        </w:rPr>
        <w:t>根据风险评估结论，本地块存在土壤污染健康风险不可接受的情况，需要实施土壤修复，因此建议生态环境主管部门将此地块列入建设用地土壤污染风险管控和修复名录。待修复完成后，通过省生态环境主管部门会同自然资源等主管部门组织的修复效果评估报告评审会，达到风险评估报告确定的修复目标且可安全利用的要求后，可移出建设用地土壤污染风险管控和修复名录。</w:t>
      </w:r>
    </w:p>
    <w:p w14:paraId="0FC53509" w14:textId="77777777" w:rsidR="0027688F" w:rsidRPr="0027688F" w:rsidRDefault="0027688F" w:rsidP="008760FB">
      <w:pPr>
        <w:spacing w:line="360" w:lineRule="auto"/>
        <w:ind w:firstLineChars="0" w:firstLine="480"/>
        <w:jc w:val="both"/>
        <w:rPr>
          <w:rFonts w:cs="Times New Roman"/>
        </w:rPr>
      </w:pPr>
    </w:p>
    <w:p w14:paraId="236905BF" w14:textId="44275110" w:rsidR="00B431F0" w:rsidRDefault="00B431F0" w:rsidP="005167A2">
      <w:pPr>
        <w:adjustRightInd w:val="0"/>
        <w:snapToGrid w:val="0"/>
        <w:spacing w:line="360" w:lineRule="auto"/>
        <w:ind w:firstLine="480"/>
        <w:jc w:val="both"/>
        <w:rPr>
          <w:rFonts w:cs="Times New Roman"/>
          <w:kern w:val="0"/>
        </w:rPr>
      </w:pPr>
    </w:p>
    <w:sectPr w:rsidR="00B431F0" w:rsidSect="00AB2326">
      <w:pgSz w:w="11906" w:h="16838"/>
      <w:pgMar w:top="1440" w:right="1800" w:bottom="1440" w:left="1800" w:header="851" w:footer="454"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58B30" w14:textId="77777777" w:rsidR="00E10D5E" w:rsidRDefault="00E10D5E">
      <w:pPr>
        <w:spacing w:line="240" w:lineRule="auto"/>
        <w:ind w:firstLine="480"/>
      </w:pPr>
      <w:r>
        <w:separator/>
      </w:r>
    </w:p>
  </w:endnote>
  <w:endnote w:type="continuationSeparator" w:id="0">
    <w:p w14:paraId="0EA796A4" w14:textId="77777777" w:rsidR="00E10D5E" w:rsidRDefault="00E10D5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DDE7" w14:textId="77777777" w:rsidR="00B431F0" w:rsidRDefault="00B431F0">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682583"/>
    </w:sdtPr>
    <w:sdtEndPr/>
    <w:sdtContent>
      <w:p w14:paraId="5D24AA5B" w14:textId="77777777" w:rsidR="00B431F0" w:rsidRDefault="00507B22">
        <w:pPr>
          <w:pStyle w:val="a5"/>
          <w:ind w:firstLine="360"/>
          <w:jc w:val="center"/>
        </w:pPr>
        <w:r>
          <w:fldChar w:fldCharType="begin"/>
        </w:r>
        <w:r>
          <w:instrText>PAGE   \* MERGEFORMAT</w:instrText>
        </w:r>
        <w:r>
          <w:fldChar w:fldCharType="separate"/>
        </w:r>
        <w:r>
          <w:rPr>
            <w:lang w:val="zh-CN"/>
          </w:rPr>
          <w:t>1</w:t>
        </w:r>
        <w:r>
          <w:fldChar w:fldCharType="end"/>
        </w:r>
      </w:p>
    </w:sdtContent>
  </w:sdt>
  <w:p w14:paraId="62A84471" w14:textId="77777777" w:rsidR="00B431F0" w:rsidRDefault="00507B22">
    <w:pPr>
      <w:pStyle w:val="a5"/>
      <w:ind w:firstLine="360"/>
      <w:jc w:val="right"/>
    </w:pPr>
    <w:r>
      <w:rPr>
        <w:rFonts w:hint="eastAsia"/>
      </w:rPr>
      <w:t>南京大学环境规划设计研究院股份公司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61C5" w14:textId="77777777" w:rsidR="00B431F0" w:rsidRDefault="00B431F0">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209186"/>
    </w:sdtPr>
    <w:sdtEndPr>
      <w:rPr>
        <w:rFonts w:cs="Times New Roman"/>
      </w:rPr>
    </w:sdtEndPr>
    <w:sdtContent>
      <w:p w14:paraId="4655B551" w14:textId="77777777" w:rsidR="00B431F0" w:rsidRDefault="00507B22">
        <w:pPr>
          <w:pStyle w:val="a5"/>
          <w:pBdr>
            <w:top w:val="single" w:sz="4" w:space="1" w:color="auto"/>
          </w:pBdr>
          <w:ind w:firstLine="360"/>
          <w:jc w:val="center"/>
          <w:rPr>
            <w:rFonts w:cs="Times New Roman"/>
          </w:rPr>
        </w:pPr>
        <w:r>
          <w:rPr>
            <w:rFonts w:cs="Times New Roman"/>
          </w:rPr>
          <w:fldChar w:fldCharType="begin"/>
        </w:r>
        <w:r>
          <w:rPr>
            <w:rFonts w:cs="Times New Roman"/>
          </w:rPr>
          <w:instrText>PAGE   \* MERGEFORMAT</w:instrText>
        </w:r>
        <w:r>
          <w:rPr>
            <w:rFonts w:cs="Times New Roman"/>
          </w:rPr>
          <w:fldChar w:fldCharType="separate"/>
        </w:r>
        <w:r w:rsidR="00760985" w:rsidRPr="00760985">
          <w:rPr>
            <w:rFonts w:cs="Times New Roman"/>
            <w:noProof/>
            <w:lang w:val="zh-CN"/>
          </w:rPr>
          <w:t>3</w:t>
        </w:r>
        <w:r>
          <w:rPr>
            <w:rFonts w:cs="Times New Roman"/>
          </w:rPr>
          <w:fldChar w:fldCharType="end"/>
        </w:r>
      </w:p>
    </w:sdtContent>
  </w:sdt>
  <w:p w14:paraId="6119CA8D" w14:textId="2E9B2C59" w:rsidR="00B431F0" w:rsidRDefault="00507B22">
    <w:pPr>
      <w:pStyle w:val="a5"/>
      <w:ind w:firstLine="360"/>
      <w:jc w:val="right"/>
    </w:pPr>
    <w:r>
      <w:rPr>
        <w:rFonts w:hint="eastAsia"/>
      </w:rPr>
      <w:t>南京大学环境规划设计研究院</w:t>
    </w:r>
    <w:r w:rsidR="00AB2326">
      <w:rPr>
        <w:rFonts w:hint="eastAsia"/>
      </w:rPr>
      <w:t>集团</w:t>
    </w:r>
    <w:r>
      <w:rPr>
        <w:rFonts w:hint="eastAsia"/>
      </w:rPr>
      <w:t>股份公司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FC7FE" w14:textId="77777777" w:rsidR="00E10D5E" w:rsidRDefault="00E10D5E">
      <w:pPr>
        <w:spacing w:line="240" w:lineRule="auto"/>
        <w:ind w:firstLine="480"/>
      </w:pPr>
      <w:r>
        <w:separator/>
      </w:r>
    </w:p>
  </w:footnote>
  <w:footnote w:type="continuationSeparator" w:id="0">
    <w:p w14:paraId="7FA6A14E" w14:textId="77777777" w:rsidR="00E10D5E" w:rsidRDefault="00E10D5E">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402D" w14:textId="77777777" w:rsidR="00B431F0" w:rsidRDefault="00B431F0">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E0BB" w14:textId="77777777" w:rsidR="00B431F0" w:rsidRDefault="00507B22">
    <w:pPr>
      <w:pStyle w:val="a7"/>
      <w:pBdr>
        <w:bottom w:val="single" w:sz="4" w:space="1" w:color="auto"/>
      </w:pBdr>
      <w:spacing w:line="240" w:lineRule="auto"/>
      <w:ind w:firstLineChars="0" w:firstLine="0"/>
    </w:pPr>
    <w:bookmarkStart w:id="0" w:name="OLE_LINK11"/>
    <w:bookmarkStart w:id="1" w:name="_Hlk5338372"/>
    <w:bookmarkStart w:id="2" w:name="OLE_LINK12"/>
    <w:bookmarkStart w:id="3" w:name="_Hlk5338158"/>
    <w:bookmarkStart w:id="4" w:name="OLE_LINK9"/>
    <w:bookmarkStart w:id="5" w:name="OLE_LINK5"/>
    <w:r>
      <w:rPr>
        <w:rFonts w:hint="eastAsia"/>
      </w:rPr>
      <w:t>安庆新曙光精细化工有限公司华中东路</w:t>
    </w:r>
    <w:r>
      <w:rPr>
        <w:rFonts w:hint="eastAsia"/>
      </w:rPr>
      <w:t>316</w:t>
    </w:r>
    <w:r>
      <w:rPr>
        <w:rFonts w:hint="eastAsia"/>
      </w:rPr>
      <w:t>号地块土壤环境初步调查报告</w:t>
    </w:r>
    <w:bookmarkEnd w:id="0"/>
    <w:bookmarkEnd w:id="1"/>
    <w:bookmarkEnd w:id="2"/>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D1AA" w14:textId="77777777" w:rsidR="00B431F0" w:rsidRDefault="00B431F0">
    <w:pPr>
      <w:ind w:left="480" w:firstLineChars="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74D1" w14:textId="10E21921" w:rsidR="00B431F0" w:rsidRDefault="00ED5582" w:rsidP="00ED5582">
    <w:pPr>
      <w:pStyle w:val="a7"/>
      <w:ind w:firstLine="360"/>
    </w:pPr>
    <w:r>
      <w:rPr>
        <w:rFonts w:hint="eastAsia"/>
      </w:rPr>
      <w:t>芜湖</w:t>
    </w:r>
    <w:proofErr w:type="gramStart"/>
    <w:r>
      <w:rPr>
        <w:rFonts w:hint="eastAsia"/>
      </w:rPr>
      <w:t>新兴铸</w:t>
    </w:r>
    <w:proofErr w:type="gramEnd"/>
    <w:r>
      <w:rPr>
        <w:rFonts w:hint="eastAsia"/>
      </w:rPr>
      <w:t>管弋江老厂区</w:t>
    </w:r>
    <w:r>
      <w:rPr>
        <w:rFonts w:hint="eastAsia"/>
      </w:rPr>
      <w:t>12#</w:t>
    </w:r>
    <w:r>
      <w:rPr>
        <w:rFonts w:hint="eastAsia"/>
      </w:rPr>
      <w:t>地块土壤污染</w:t>
    </w:r>
    <w:r w:rsidR="00B13C78">
      <w:rPr>
        <w:rFonts w:hint="eastAsia"/>
      </w:rPr>
      <w:t>风险评估</w:t>
    </w:r>
    <w:r>
      <w:rPr>
        <w:rFonts w:hint="eastAsia"/>
      </w:rPr>
      <w:t>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057"/>
    <w:rsid w:val="0000023C"/>
    <w:rsid w:val="000172A8"/>
    <w:rsid w:val="000D0A3B"/>
    <w:rsid w:val="000E1371"/>
    <w:rsid w:val="00147BBF"/>
    <w:rsid w:val="00151246"/>
    <w:rsid w:val="00166C6D"/>
    <w:rsid w:val="00191B9B"/>
    <w:rsid w:val="001A11AF"/>
    <w:rsid w:val="001E123D"/>
    <w:rsid w:val="00206C58"/>
    <w:rsid w:val="002110D7"/>
    <w:rsid w:val="00224620"/>
    <w:rsid w:val="00231074"/>
    <w:rsid w:val="002460C3"/>
    <w:rsid w:val="00252B80"/>
    <w:rsid w:val="0027688F"/>
    <w:rsid w:val="002F1FE1"/>
    <w:rsid w:val="00304047"/>
    <w:rsid w:val="003129A7"/>
    <w:rsid w:val="00382722"/>
    <w:rsid w:val="003874C7"/>
    <w:rsid w:val="00392D9B"/>
    <w:rsid w:val="003944B3"/>
    <w:rsid w:val="004063EF"/>
    <w:rsid w:val="00423AF4"/>
    <w:rsid w:val="0047041B"/>
    <w:rsid w:val="0047228F"/>
    <w:rsid w:val="00472857"/>
    <w:rsid w:val="00492F71"/>
    <w:rsid w:val="004B31C7"/>
    <w:rsid w:val="004B35A9"/>
    <w:rsid w:val="00507B22"/>
    <w:rsid w:val="00514B62"/>
    <w:rsid w:val="005167A2"/>
    <w:rsid w:val="005253A5"/>
    <w:rsid w:val="005552C2"/>
    <w:rsid w:val="00563254"/>
    <w:rsid w:val="00592DF0"/>
    <w:rsid w:val="0061645F"/>
    <w:rsid w:val="00631605"/>
    <w:rsid w:val="00673057"/>
    <w:rsid w:val="006807B8"/>
    <w:rsid w:val="00683873"/>
    <w:rsid w:val="006D5AF1"/>
    <w:rsid w:val="006E3D18"/>
    <w:rsid w:val="006F6882"/>
    <w:rsid w:val="0070502C"/>
    <w:rsid w:val="00760985"/>
    <w:rsid w:val="00776357"/>
    <w:rsid w:val="007904C9"/>
    <w:rsid w:val="007B08D7"/>
    <w:rsid w:val="007E208F"/>
    <w:rsid w:val="007F37E7"/>
    <w:rsid w:val="00821054"/>
    <w:rsid w:val="00837ACB"/>
    <w:rsid w:val="008760FB"/>
    <w:rsid w:val="00876CEF"/>
    <w:rsid w:val="008905BC"/>
    <w:rsid w:val="00894EA7"/>
    <w:rsid w:val="008A65C9"/>
    <w:rsid w:val="008C3914"/>
    <w:rsid w:val="0091234F"/>
    <w:rsid w:val="009346A1"/>
    <w:rsid w:val="00967D1A"/>
    <w:rsid w:val="00974593"/>
    <w:rsid w:val="00A34883"/>
    <w:rsid w:val="00A52A08"/>
    <w:rsid w:val="00A90B28"/>
    <w:rsid w:val="00A94B4E"/>
    <w:rsid w:val="00AB0D3B"/>
    <w:rsid w:val="00AB2326"/>
    <w:rsid w:val="00AC7057"/>
    <w:rsid w:val="00AF163C"/>
    <w:rsid w:val="00B13C78"/>
    <w:rsid w:val="00B24539"/>
    <w:rsid w:val="00B431F0"/>
    <w:rsid w:val="00B50251"/>
    <w:rsid w:val="00B649DB"/>
    <w:rsid w:val="00BD0D27"/>
    <w:rsid w:val="00C0653E"/>
    <w:rsid w:val="00C90C15"/>
    <w:rsid w:val="00CB0A7A"/>
    <w:rsid w:val="00CB7868"/>
    <w:rsid w:val="00CC08B0"/>
    <w:rsid w:val="00CC6797"/>
    <w:rsid w:val="00D24E9E"/>
    <w:rsid w:val="00E10D5E"/>
    <w:rsid w:val="00E254EB"/>
    <w:rsid w:val="00ED5582"/>
    <w:rsid w:val="00F201F5"/>
    <w:rsid w:val="00F62E00"/>
    <w:rsid w:val="00FA449B"/>
    <w:rsid w:val="00FD0D55"/>
    <w:rsid w:val="00FE5608"/>
    <w:rsid w:val="66666762"/>
    <w:rsid w:val="7D1F0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6FF8BB"/>
  <w15:docId w15:val="{0172BC10-AB1E-4FAE-B480-F6293CE7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500" w:lineRule="exact"/>
      <w:ind w:firstLineChars="200" w:firstLine="200"/>
    </w:pPr>
    <w:rPr>
      <w:rFonts w:ascii="Times New Roman" w:eastAsia="仿宋_GB2312" w:hAnsi="Times New Roman"/>
      <w:kern w:val="2"/>
      <w:sz w:val="24"/>
      <w:szCs w:val="24"/>
    </w:rPr>
  </w:style>
  <w:style w:type="paragraph" w:styleId="2">
    <w:name w:val="heading 2"/>
    <w:basedOn w:val="a"/>
    <w:next w:val="a"/>
    <w:link w:val="20"/>
    <w:uiPriority w:val="9"/>
    <w:unhideWhenUsed/>
    <w:qFormat/>
    <w:rsid w:val="007B08D7"/>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7B08D7"/>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line="240" w:lineRule="auto"/>
    </w:pPr>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pPr>
      <w:ind w:firstLine="200"/>
    </w:pPr>
    <w:rPr>
      <w:rFonts w:ascii="Times New Roman" w:eastAsia="仿宋_GB2312"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仿宋_GB2312" w:hAnsi="Times New Roman"/>
      <w:sz w:val="18"/>
      <w:szCs w:val="18"/>
    </w:rPr>
  </w:style>
  <w:style w:type="character" w:customStyle="1" w:styleId="a6">
    <w:name w:val="页脚 字符"/>
    <w:basedOn w:val="a0"/>
    <w:link w:val="a5"/>
    <w:uiPriority w:val="99"/>
    <w:qFormat/>
    <w:rPr>
      <w:rFonts w:ascii="Times New Roman" w:eastAsia="仿宋_GB2312" w:hAnsi="Times New Roman"/>
      <w:sz w:val="18"/>
      <w:szCs w:val="18"/>
    </w:rPr>
  </w:style>
  <w:style w:type="table" w:customStyle="1" w:styleId="1221">
    <w:name w:val="灰度表格1221"/>
    <w:basedOn w:val="a1"/>
    <w:uiPriority w:val="39"/>
    <w:pPr>
      <w:ind w:firstLine="200"/>
    </w:pPr>
    <w:rPr>
      <w:rFonts w:ascii="Times New Roman" w:eastAsia="仿宋_GB2312"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rPr>
      <w:rFonts w:ascii="Times New Roman" w:eastAsia="仿宋_GB2312" w:hAnsi="Times New Roman"/>
      <w:sz w:val="18"/>
      <w:szCs w:val="18"/>
    </w:rPr>
  </w:style>
  <w:style w:type="paragraph" w:styleId="aa">
    <w:name w:val="Title"/>
    <w:basedOn w:val="a"/>
    <w:next w:val="a"/>
    <w:link w:val="ab"/>
    <w:uiPriority w:val="10"/>
    <w:qFormat/>
    <w:rsid w:val="007B08D7"/>
    <w:pPr>
      <w:spacing w:before="240" w:after="60"/>
      <w:jc w:val="center"/>
      <w:outlineLvl w:val="0"/>
    </w:pPr>
    <w:rPr>
      <w:rFonts w:asciiTheme="majorHAnsi" w:eastAsiaTheme="majorEastAsia" w:hAnsiTheme="majorHAnsi" w:cstheme="majorBidi"/>
      <w:b/>
      <w:bCs/>
      <w:sz w:val="32"/>
      <w:szCs w:val="32"/>
    </w:rPr>
  </w:style>
  <w:style w:type="character" w:customStyle="1" w:styleId="ab">
    <w:name w:val="标题 字符"/>
    <w:basedOn w:val="a0"/>
    <w:link w:val="aa"/>
    <w:uiPriority w:val="10"/>
    <w:rsid w:val="007B08D7"/>
    <w:rPr>
      <w:rFonts w:asciiTheme="majorHAnsi" w:eastAsiaTheme="majorEastAsia" w:hAnsiTheme="majorHAnsi" w:cstheme="majorBidi"/>
      <w:b/>
      <w:bCs/>
      <w:kern w:val="2"/>
      <w:sz w:val="32"/>
      <w:szCs w:val="32"/>
    </w:rPr>
  </w:style>
  <w:style w:type="character" w:customStyle="1" w:styleId="20">
    <w:name w:val="标题 2 字符"/>
    <w:basedOn w:val="a0"/>
    <w:link w:val="2"/>
    <w:uiPriority w:val="9"/>
    <w:rsid w:val="007B08D7"/>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rsid w:val="007B08D7"/>
    <w:rPr>
      <w:rFonts w:ascii="Times New Roman" w:eastAsia="仿宋_GB2312" w:hAnsi="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jp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377</Words>
  <Characters>2149</Characters>
  <Application>Microsoft Office Word</Application>
  <DocSecurity>0</DocSecurity>
  <Lines>17</Lines>
  <Paragraphs>5</Paragraphs>
  <ScaleCrop>false</ScaleCrop>
  <Company>微软</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 Anqi</dc:creator>
  <cp:lastModifiedBy>q l</cp:lastModifiedBy>
  <cp:revision>4</cp:revision>
  <cp:lastPrinted>2021-08-18T07:24:00Z</cp:lastPrinted>
  <dcterms:created xsi:type="dcterms:W3CDTF">2021-10-22T01:43:00Z</dcterms:created>
  <dcterms:modified xsi:type="dcterms:W3CDTF">2021-10-22T07:59:00Z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