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beforeLines="50" w:after="163" w:afterLines="50" w:line="240" w:lineRule="auto"/>
        <w:ind w:firstLine="0" w:firstLineChars="0"/>
        <w:jc w:val="both"/>
        <w:rPr>
          <w:rFonts w:ascii="华文楷体" w:hAnsi="华文楷体" w:eastAsia="华文楷体"/>
          <w:sz w:val="32"/>
          <w:szCs w:val="32"/>
        </w:rPr>
      </w:pPr>
    </w:p>
    <w:p>
      <w:pPr>
        <w:spacing w:before="163" w:beforeLines="50" w:after="163" w:afterLines="50" w:line="240" w:lineRule="auto"/>
        <w:ind w:firstLine="0" w:firstLineChars="0"/>
        <w:jc w:val="both"/>
        <w:rPr>
          <w:rFonts w:ascii="华文楷体" w:hAnsi="华文楷体" w:eastAsia="华文楷体"/>
          <w:sz w:val="32"/>
          <w:szCs w:val="32"/>
        </w:rPr>
      </w:pPr>
    </w:p>
    <w:p>
      <w:pPr>
        <w:spacing w:before="163" w:beforeLines="50" w:after="163" w:afterLines="50" w:line="240" w:lineRule="auto"/>
        <w:ind w:firstLine="0" w:firstLineChars="0"/>
        <w:jc w:val="center"/>
        <w:rPr>
          <w:rFonts w:ascii="华文楷体" w:hAnsi="华文楷体" w:eastAsia="华文楷体"/>
          <w:b/>
          <w:sz w:val="52"/>
          <w:szCs w:val="52"/>
        </w:rPr>
      </w:pPr>
      <w:bookmarkStart w:id="0" w:name="_Hlk7029622"/>
      <w:r>
        <w:rPr>
          <w:rFonts w:hint="eastAsia" w:ascii="华文楷体" w:hAnsi="华文楷体" w:eastAsia="华文楷体"/>
          <w:b/>
          <w:sz w:val="52"/>
          <w:szCs w:val="52"/>
        </w:rPr>
        <w:t>芜湖新兴铸管弋江老厂区</w:t>
      </w:r>
      <w:r>
        <w:rPr>
          <w:rFonts w:hint="eastAsia" w:ascii="华文楷体" w:hAnsi="华文楷体" w:eastAsia="华文楷体"/>
          <w:b/>
          <w:sz w:val="52"/>
          <w:szCs w:val="52"/>
          <w:lang w:val="en-US" w:eastAsia="zh-CN"/>
        </w:rPr>
        <w:t>10</w:t>
      </w:r>
      <w:r>
        <w:rPr>
          <w:rFonts w:hint="eastAsia" w:ascii="华文楷体" w:hAnsi="华文楷体" w:eastAsia="华文楷体"/>
          <w:b/>
          <w:sz w:val="52"/>
          <w:szCs w:val="52"/>
        </w:rPr>
        <w:t>#地块</w:t>
      </w:r>
    </w:p>
    <w:p>
      <w:pPr>
        <w:spacing w:before="163" w:beforeLines="50" w:after="163" w:afterLines="50" w:line="240" w:lineRule="auto"/>
        <w:ind w:firstLine="0" w:firstLineChars="0"/>
        <w:jc w:val="center"/>
        <w:rPr>
          <w:rFonts w:ascii="华文楷体" w:hAnsi="华文楷体" w:eastAsia="华文楷体"/>
          <w:sz w:val="44"/>
          <w:szCs w:val="32"/>
        </w:rPr>
      </w:pPr>
      <w:r>
        <w:rPr>
          <w:rFonts w:hint="eastAsia" w:ascii="华文楷体" w:hAnsi="华文楷体" w:eastAsia="华文楷体"/>
          <w:b/>
          <w:sz w:val="52"/>
          <w:szCs w:val="52"/>
        </w:rPr>
        <w:t>场地环境初步调查报告</w:t>
      </w:r>
      <w:bookmarkEnd w:id="0"/>
    </w:p>
    <w:p>
      <w:pPr>
        <w:spacing w:before="163" w:beforeLines="50" w:after="163" w:afterLines="50" w:line="240" w:lineRule="auto"/>
        <w:ind w:firstLine="0" w:firstLineChars="0"/>
        <w:jc w:val="center"/>
        <w:rPr>
          <w:rFonts w:ascii="华文楷体" w:hAnsi="华文楷体" w:eastAsia="华文楷体"/>
          <w:sz w:val="32"/>
          <w:szCs w:val="32"/>
        </w:rPr>
      </w:pPr>
      <w:r>
        <w:rPr>
          <w:rFonts w:hint="eastAsia" w:ascii="华文楷体" w:hAnsi="华文楷体" w:eastAsia="华文楷体"/>
          <w:sz w:val="44"/>
          <w:szCs w:val="32"/>
        </w:rPr>
        <w:t>（公示本）</w:t>
      </w:r>
    </w:p>
    <w:p>
      <w:pPr>
        <w:spacing w:before="163" w:beforeLines="50" w:after="163" w:afterLines="50" w:line="240" w:lineRule="auto"/>
        <w:ind w:firstLine="0" w:firstLineChars="0"/>
        <w:jc w:val="both"/>
        <w:rPr>
          <w:rFonts w:ascii="华文楷体" w:hAnsi="华文楷体" w:eastAsia="华文楷体"/>
          <w:sz w:val="32"/>
          <w:szCs w:val="32"/>
        </w:rPr>
      </w:pPr>
    </w:p>
    <w:p>
      <w:pPr>
        <w:spacing w:before="163" w:beforeLines="50" w:after="163" w:afterLines="50" w:line="240" w:lineRule="auto"/>
        <w:ind w:firstLine="0" w:firstLineChars="0"/>
        <w:jc w:val="both"/>
        <w:rPr>
          <w:rFonts w:ascii="华文楷体" w:hAnsi="华文楷体" w:eastAsia="华文楷体"/>
          <w:sz w:val="32"/>
          <w:szCs w:val="32"/>
        </w:rPr>
      </w:pPr>
    </w:p>
    <w:p>
      <w:pPr>
        <w:spacing w:before="163" w:beforeLines="50" w:after="163" w:afterLines="50" w:line="240" w:lineRule="auto"/>
        <w:ind w:firstLine="0" w:firstLineChars="0"/>
        <w:jc w:val="both"/>
        <w:rPr>
          <w:rFonts w:ascii="华文楷体" w:hAnsi="华文楷体" w:eastAsia="华文楷体"/>
          <w:sz w:val="32"/>
          <w:szCs w:val="32"/>
        </w:rPr>
      </w:pPr>
    </w:p>
    <w:p>
      <w:pPr>
        <w:spacing w:before="163" w:beforeLines="50" w:after="163" w:afterLines="50" w:line="240" w:lineRule="auto"/>
        <w:ind w:firstLine="0" w:firstLineChars="0"/>
        <w:jc w:val="both"/>
        <w:rPr>
          <w:rFonts w:ascii="华文楷体" w:hAnsi="华文楷体" w:eastAsia="华文楷体"/>
          <w:sz w:val="32"/>
          <w:szCs w:val="32"/>
        </w:rPr>
      </w:pPr>
    </w:p>
    <w:p>
      <w:pPr>
        <w:spacing w:before="163" w:beforeLines="50" w:after="163" w:afterLines="50" w:line="240" w:lineRule="auto"/>
        <w:ind w:firstLine="0" w:firstLineChars="0"/>
        <w:jc w:val="both"/>
        <w:rPr>
          <w:rFonts w:ascii="华文楷体" w:hAnsi="华文楷体" w:eastAsia="华文楷体"/>
          <w:sz w:val="32"/>
          <w:szCs w:val="32"/>
        </w:rPr>
      </w:pPr>
    </w:p>
    <w:p>
      <w:pPr>
        <w:spacing w:before="163" w:beforeLines="50" w:after="163" w:afterLines="50"/>
        <w:ind w:firstLine="0" w:firstLineChars="0"/>
        <w:jc w:val="center"/>
        <w:rPr>
          <w:rFonts w:ascii="华文楷体" w:hAnsi="华文楷体" w:eastAsia="华文楷体"/>
          <w:b/>
          <w:sz w:val="36"/>
          <w:szCs w:val="36"/>
        </w:rPr>
      </w:pPr>
      <w:r>
        <w:rPr>
          <w:rFonts w:hint="eastAsia" w:ascii="华文楷体" w:hAnsi="华文楷体" w:eastAsia="华文楷体"/>
          <w:b/>
          <w:sz w:val="36"/>
          <w:szCs w:val="36"/>
        </w:rPr>
        <w:t>委托单位</w:t>
      </w:r>
      <w:r>
        <w:rPr>
          <w:rFonts w:ascii="华文楷体" w:hAnsi="华文楷体" w:eastAsia="华文楷体"/>
          <w:b/>
          <w:sz w:val="36"/>
          <w:szCs w:val="36"/>
        </w:rPr>
        <w:t>：</w:t>
      </w:r>
      <w:bookmarkStart w:id="1" w:name="_Hlk7029378"/>
      <w:r>
        <w:rPr>
          <w:rFonts w:hint="eastAsia" w:ascii="华文楷体" w:hAnsi="华文楷体" w:eastAsia="华文楷体"/>
          <w:b/>
          <w:sz w:val="36"/>
          <w:szCs w:val="36"/>
        </w:rPr>
        <w:t>芜湖新兴投资开发有限责任公司</w:t>
      </w:r>
      <w:bookmarkEnd w:id="1"/>
    </w:p>
    <w:p>
      <w:pPr>
        <w:spacing w:before="163" w:beforeLines="50" w:after="163" w:afterLines="50"/>
        <w:ind w:firstLine="0" w:firstLineChars="0"/>
        <w:jc w:val="center"/>
        <w:rPr>
          <w:rFonts w:ascii="华文楷体" w:hAnsi="华文楷体" w:eastAsia="华文楷体"/>
          <w:b/>
          <w:sz w:val="36"/>
          <w:szCs w:val="36"/>
        </w:rPr>
      </w:pPr>
      <w:r>
        <w:rPr>
          <w:rFonts w:hint="eastAsia" w:ascii="华文楷体" w:hAnsi="华文楷体" w:eastAsia="华文楷体"/>
          <w:b/>
          <w:sz w:val="36"/>
          <w:szCs w:val="36"/>
        </w:rPr>
        <w:t>编制单位</w:t>
      </w:r>
      <w:r>
        <w:rPr>
          <w:rFonts w:ascii="华文楷体" w:hAnsi="华文楷体" w:eastAsia="华文楷体"/>
          <w:b/>
          <w:sz w:val="36"/>
          <w:szCs w:val="36"/>
        </w:rPr>
        <w:t>：</w:t>
      </w:r>
      <w:r>
        <w:rPr>
          <w:rFonts w:hint="eastAsia" w:ascii="华文楷体" w:hAnsi="华文楷体" w:eastAsia="华文楷体"/>
          <w:b/>
          <w:sz w:val="36"/>
          <w:szCs w:val="36"/>
        </w:rPr>
        <w:t>南京大学环境规划设计研究院股份公司</w:t>
      </w:r>
    </w:p>
    <w:p>
      <w:pPr>
        <w:spacing w:before="163" w:beforeLines="50" w:after="163" w:afterLines="50"/>
        <w:ind w:firstLine="0" w:firstLineChars="0"/>
        <w:jc w:val="center"/>
        <w:rPr>
          <w:b/>
        </w:rPr>
      </w:pPr>
      <w:r>
        <w:rPr>
          <w:rFonts w:hint="eastAsia" w:ascii="华文楷体" w:hAnsi="华文楷体" w:eastAsia="华文楷体"/>
          <w:b/>
          <w:sz w:val="36"/>
          <w:szCs w:val="36"/>
        </w:rPr>
        <w:t>二○一九年五月</w:t>
      </w:r>
    </w:p>
    <w:p>
      <w:pPr>
        <w:ind w:firstLine="480"/>
        <w:jc w:val="both"/>
      </w:pPr>
    </w:p>
    <w:p>
      <w:pPr>
        <w:ind w:firstLine="480"/>
        <w:jc w:val="both"/>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start="1"/>
          <w:cols w:space="425" w:num="1"/>
          <w:titlePg/>
          <w:docGrid w:type="lines" w:linePitch="326" w:charSpace="0"/>
        </w:sectPr>
      </w:pPr>
    </w:p>
    <w:p>
      <w:pPr>
        <w:spacing w:before="312" w:beforeLines="100" w:after="312" w:afterLines="100" w:line="240" w:lineRule="auto"/>
        <w:ind w:firstLine="0" w:firstLineChars="0"/>
        <w:jc w:val="center"/>
        <w:rPr>
          <w:rFonts w:ascii="仿宋_GB2312" w:hAnsi="宋体" w:cs="Times New Roman"/>
          <w:b/>
          <w:kern w:val="0"/>
          <w:sz w:val="44"/>
          <w:szCs w:val="44"/>
        </w:rPr>
      </w:pPr>
      <w:bookmarkStart w:id="2" w:name="_Toc6253516"/>
      <w:r>
        <w:rPr>
          <w:rFonts w:hint="eastAsia" w:ascii="仿宋_GB2312" w:hAnsi="宋体" w:cs="Times New Roman"/>
          <w:b/>
          <w:kern w:val="0"/>
          <w:sz w:val="44"/>
          <w:szCs w:val="44"/>
        </w:rPr>
        <w:t>保 密 声 明</w:t>
      </w:r>
    </w:p>
    <w:p>
      <w:pPr>
        <w:spacing w:before="312" w:beforeLines="100" w:after="312" w:afterLines="100" w:line="240" w:lineRule="auto"/>
        <w:ind w:firstLine="600" w:firstLineChars="0"/>
        <w:rPr>
          <w:rFonts w:ascii="仿宋_GB2312" w:hAnsi="宋体" w:cs="Times New Roman"/>
          <w:kern w:val="0"/>
          <w:sz w:val="30"/>
          <w:szCs w:val="30"/>
        </w:rPr>
      </w:pPr>
      <w:r>
        <w:rPr>
          <w:rFonts w:hint="eastAsia" w:ascii="仿宋_GB2312" w:hAnsi="宋体" w:cs="Times New Roman"/>
          <w:kern w:val="0"/>
          <w:sz w:val="30"/>
          <w:szCs w:val="30"/>
        </w:rPr>
        <w:t>项目委托方和受托方为该项目技术资料、图件、数据等资料的责任方，双方均负有保密义务；未经双方许可，不得向第三方提供本报告的相关技术资料与数据。</w:t>
      </w:r>
    </w:p>
    <w:p>
      <w:pPr>
        <w:spacing w:before="312" w:beforeLines="100" w:after="312" w:afterLines="100" w:line="240" w:lineRule="auto"/>
        <w:ind w:firstLine="560" w:firstLineChars="0"/>
        <w:jc w:val="right"/>
        <w:rPr>
          <w:rFonts w:ascii="宋体" w:hAnsi="宋体" w:eastAsia="宋体" w:cs="Times New Roman"/>
          <w:kern w:val="0"/>
          <w:sz w:val="28"/>
          <w:szCs w:val="28"/>
        </w:rPr>
      </w:pPr>
    </w:p>
    <w:p>
      <w:pPr>
        <w:spacing w:before="312" w:beforeLines="100" w:after="312" w:afterLines="100" w:line="240" w:lineRule="auto"/>
        <w:ind w:firstLine="560" w:firstLineChars="0"/>
        <w:jc w:val="right"/>
        <w:rPr>
          <w:rFonts w:ascii="宋体" w:hAnsi="宋体" w:eastAsia="宋体" w:cs="Times New Roman"/>
          <w:kern w:val="0"/>
          <w:sz w:val="28"/>
          <w:szCs w:val="28"/>
        </w:rPr>
      </w:pPr>
    </w:p>
    <w:p>
      <w:pPr>
        <w:spacing w:before="312" w:beforeLines="100" w:after="312" w:afterLines="100" w:line="240" w:lineRule="auto"/>
        <w:ind w:firstLine="560" w:firstLineChars="0"/>
        <w:jc w:val="right"/>
        <w:rPr>
          <w:rFonts w:ascii="宋体" w:hAnsi="宋体" w:eastAsia="宋体" w:cs="Times New Roman"/>
          <w:kern w:val="0"/>
          <w:sz w:val="28"/>
          <w:szCs w:val="28"/>
        </w:rPr>
      </w:pPr>
    </w:p>
    <w:p>
      <w:pPr>
        <w:spacing w:before="156" w:beforeLines="50" w:after="156" w:afterLines="50" w:line="360" w:lineRule="auto"/>
        <w:ind w:firstLine="600" w:firstLineChars="0"/>
        <w:jc w:val="right"/>
        <w:rPr>
          <w:rFonts w:ascii="宋体" w:hAnsi="宋体" w:eastAsia="宋体" w:cs="Times New Roman"/>
          <w:kern w:val="0"/>
          <w:sz w:val="30"/>
          <w:szCs w:val="30"/>
        </w:rPr>
      </w:pPr>
    </w:p>
    <w:p>
      <w:pPr>
        <w:spacing w:before="156" w:beforeLines="50" w:after="156" w:afterLines="50" w:line="360" w:lineRule="auto"/>
        <w:ind w:firstLine="560" w:firstLineChars="0"/>
        <w:jc w:val="right"/>
        <w:rPr>
          <w:rFonts w:ascii="宋体" w:hAnsi="宋体" w:eastAsia="宋体" w:cs="Times New Roman"/>
          <w:kern w:val="0"/>
          <w:sz w:val="28"/>
          <w:szCs w:val="30"/>
        </w:rPr>
      </w:pPr>
    </w:p>
    <w:p>
      <w:pPr>
        <w:spacing w:before="156" w:beforeLines="50" w:after="156" w:afterLines="50" w:line="360" w:lineRule="auto"/>
        <w:ind w:firstLine="560" w:firstLineChars="0"/>
        <w:jc w:val="right"/>
        <w:rPr>
          <w:rFonts w:ascii="宋体" w:hAnsi="宋体" w:eastAsia="宋体" w:cs="Times New Roman"/>
          <w:kern w:val="0"/>
          <w:sz w:val="28"/>
          <w:szCs w:val="30"/>
        </w:rPr>
      </w:pPr>
    </w:p>
    <w:p>
      <w:pPr>
        <w:spacing w:before="156" w:beforeLines="50" w:after="156" w:afterLines="50" w:line="360" w:lineRule="auto"/>
        <w:ind w:firstLine="560" w:firstLineChars="0"/>
        <w:jc w:val="right"/>
        <w:rPr>
          <w:rFonts w:ascii="仿宋_GB2312" w:hAnsi="宋体" w:cs="Times New Roman"/>
          <w:kern w:val="0"/>
          <w:sz w:val="28"/>
          <w:szCs w:val="30"/>
        </w:rPr>
      </w:pPr>
      <w:r>
        <w:rPr>
          <w:rFonts w:hint="eastAsia" w:ascii="仿宋_GB2312" w:hAnsi="宋体" w:cs="Times New Roman"/>
          <w:kern w:val="0"/>
          <w:sz w:val="28"/>
          <w:szCs w:val="30"/>
        </w:rPr>
        <w:t>南京大学环境规划设计研究院股份公司</w:t>
      </w:r>
    </w:p>
    <w:p>
      <w:pPr>
        <w:spacing w:before="156" w:beforeLines="50" w:after="156" w:afterLines="50" w:line="240" w:lineRule="auto"/>
        <w:ind w:firstLine="560" w:firstLineChars="0"/>
        <w:jc w:val="right"/>
        <w:rPr>
          <w:rFonts w:ascii="仿宋_GB2312" w:hAnsi="宋体" w:cs="Times New Roman"/>
          <w:kern w:val="0"/>
          <w:sz w:val="28"/>
          <w:szCs w:val="30"/>
        </w:rPr>
      </w:pPr>
      <w:r>
        <w:rPr>
          <w:rFonts w:hint="eastAsia" w:ascii="仿宋_GB2312" w:hAnsi="宋体" w:cs="Times New Roman"/>
          <w:kern w:val="0"/>
          <w:sz w:val="28"/>
          <w:szCs w:val="30"/>
        </w:rPr>
        <w:t>二○一九年五月</w:t>
      </w:r>
    </w:p>
    <w:p>
      <w:pPr>
        <w:spacing w:before="156" w:beforeLines="50" w:line="240" w:lineRule="auto"/>
        <w:ind w:firstLine="641" w:firstLineChars="0"/>
        <w:rPr>
          <w:rFonts w:ascii="仿宋_GB2312" w:hAnsi="宋体" w:cs="Times New Roman"/>
          <w:b/>
          <w:kern w:val="0"/>
          <w:sz w:val="32"/>
          <w:szCs w:val="32"/>
        </w:rPr>
        <w:sectPr>
          <w:headerReference r:id="rId9" w:type="default"/>
          <w:footerReference r:id="rId10" w:type="default"/>
          <w:pgSz w:w="11906" w:h="16838"/>
          <w:pgMar w:top="1440" w:right="1797" w:bottom="1440" w:left="1797" w:header="1191" w:footer="1020" w:gutter="0"/>
          <w:pgNumType w:start="1"/>
          <w:cols w:space="720" w:num="1"/>
          <w:docGrid w:type="lines" w:linePitch="312" w:charSpace="0"/>
        </w:sectPr>
      </w:pPr>
    </w:p>
    <w:p>
      <w:pPr>
        <w:keepNext/>
        <w:keepLines/>
        <w:spacing w:before="120" w:after="120" w:line="360" w:lineRule="auto"/>
        <w:ind w:firstLine="0" w:firstLineChars="0"/>
        <w:jc w:val="both"/>
        <w:outlineLvl w:val="0"/>
        <w:rPr>
          <w:rFonts w:cs="Times New Roman"/>
          <w:b/>
          <w:bCs/>
          <w:kern w:val="44"/>
          <w:sz w:val="32"/>
          <w:szCs w:val="44"/>
        </w:rPr>
      </w:pPr>
      <w:r>
        <w:rPr>
          <w:rFonts w:hint="eastAsia" w:cs="Times New Roman"/>
          <w:b/>
          <w:bCs/>
          <w:kern w:val="44"/>
          <w:sz w:val="32"/>
          <w:szCs w:val="44"/>
        </w:rPr>
        <w:t>1项目背景</w:t>
      </w:r>
      <w:bookmarkEnd w:id="2"/>
    </w:p>
    <w:p>
      <w:pPr>
        <w:ind w:firstLine="480"/>
        <w:jc w:val="both"/>
        <w:rPr>
          <w:rFonts w:cs="Times New Roman"/>
        </w:rPr>
      </w:pPr>
      <w:r>
        <w:rPr>
          <w:rFonts w:hint="eastAsia" w:cs="Times New Roman"/>
        </w:rPr>
        <w:t>芜湖新兴铸管有限责任公司位于芜湖市弋江区，其前身是1958年建厂的芜湖钢铁厂。2003年4月，由新兴铸管股份公司和新兴际华集团（原新兴铸管集团）共同出资重组成立。2011年3月，根据芜湖城市发展、城市功能定位及《芜湖市国民经济和社会发展第十二个五年规划纲要》和《芜湖市城市总体规划（2012-2030年）》所提出的战略定位和空间布局，芜湖新兴铸管决定实施钢厂搬迁。2014年5月，公司与芜湖市人民政府就芜湖新兴整体由弋江老厂区搬迁至三山区事项签署搬迁协议。新兴铸管股份公司成立了芜湖新兴投资开发有限责任公司负责搬迁遗留地块的后期开发工作，按照规划，分地块分批次进行开发。本项目调查区域为芜湖新兴铸管弋江老厂区</w:t>
      </w:r>
      <w:r>
        <w:rPr>
          <w:rFonts w:hint="eastAsia" w:cs="Times New Roman"/>
          <w:lang w:val="en-US" w:eastAsia="zh-CN"/>
        </w:rPr>
        <w:t>10</w:t>
      </w:r>
      <w:r>
        <w:rPr>
          <w:rFonts w:hint="eastAsia" w:cs="Times New Roman"/>
        </w:rPr>
        <w:t>#地块，</w:t>
      </w:r>
      <w:bookmarkStart w:id="24" w:name="_GoBack"/>
      <w:bookmarkEnd w:id="24"/>
      <w:r>
        <w:rPr>
          <w:rFonts w:hint="eastAsia" w:cs="Times New Roman"/>
        </w:rPr>
        <w:t>根据《芜湖市城市总体规划（2012-2030年）》和相关规划，本次调查地块</w:t>
      </w:r>
      <w:r>
        <w:rPr>
          <w:rFonts w:hint="eastAsia" w:cs="Times New Roman"/>
          <w:lang w:val="en-US" w:eastAsia="zh-CN"/>
        </w:rPr>
        <w:t>10</w:t>
      </w:r>
      <w:r>
        <w:rPr>
          <w:rFonts w:hint="eastAsia" w:cs="Times New Roman"/>
        </w:rPr>
        <w:t>#地块将作为二类居住用地</w:t>
      </w:r>
      <w:r>
        <w:rPr>
          <w:rFonts w:hint="eastAsia" w:cs="Times New Roman"/>
          <w:lang w:eastAsia="zh-CN"/>
        </w:rPr>
        <w:t>、学校用地和防护绿地</w:t>
      </w:r>
      <w:r>
        <w:rPr>
          <w:rFonts w:hint="eastAsia" w:cs="Times New Roman"/>
        </w:rPr>
        <w:t>进行规划。</w:t>
      </w:r>
    </w:p>
    <w:p>
      <w:pPr>
        <w:spacing w:line="240" w:lineRule="auto"/>
        <w:ind w:firstLine="0" w:firstLineChars="0"/>
        <w:jc w:val="center"/>
        <w:rPr>
          <w:rFonts w:cs="Times New Roman"/>
          <w:b/>
          <w:kern w:val="0"/>
        </w:rPr>
      </w:pPr>
      <w:r>
        <w:rPr>
          <w:rFonts w:eastAsia="仿宋_GB2312"/>
          <w:b/>
          <w:bCs/>
        </w:rPr>
        <w:drawing>
          <wp:anchor distT="0" distB="0" distL="114300" distR="114300" simplePos="0" relativeHeight="252171264" behindDoc="0" locked="0" layoutInCell="1" allowOverlap="1">
            <wp:simplePos x="0" y="0"/>
            <wp:positionH relativeFrom="column">
              <wp:posOffset>809625</wp:posOffset>
            </wp:positionH>
            <wp:positionV relativeFrom="paragraph">
              <wp:posOffset>45085</wp:posOffset>
            </wp:positionV>
            <wp:extent cx="3655060" cy="4089400"/>
            <wp:effectExtent l="0" t="0" r="2540" b="6350"/>
            <wp:wrapTopAndBottom/>
            <wp:docPr id="98" name="图片 98" descr="调查范围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调查范围_1"/>
                    <pic:cNvPicPr>
                      <a:picLocks noChangeAspect="1"/>
                    </pic:cNvPicPr>
                  </pic:nvPicPr>
                  <pic:blipFill>
                    <a:blip r:embed="rId12" cstate="print"/>
                    <a:srcRect l="1476" t="11638" r="1992" b="12013"/>
                    <a:stretch>
                      <a:fillRect/>
                    </a:stretch>
                  </pic:blipFill>
                  <pic:spPr>
                    <a:xfrm>
                      <a:off x="0" y="0"/>
                      <a:ext cx="3655060" cy="4089400"/>
                    </a:xfrm>
                    <a:prstGeom prst="rect">
                      <a:avLst/>
                    </a:prstGeom>
                  </pic:spPr>
                </pic:pic>
              </a:graphicData>
            </a:graphic>
          </wp:anchor>
        </w:drawing>
      </w:r>
      <w:r>
        <w:rPr>
          <w:rFonts w:hint="eastAsia" w:cs="Times New Roman"/>
          <w:b/>
          <w:kern w:val="0"/>
        </w:rPr>
        <w:t>图</w:t>
      </w:r>
      <w:r>
        <w:rPr>
          <w:rFonts w:cs="Times New Roman"/>
          <w:b/>
          <w:kern w:val="0"/>
        </w:rPr>
        <w:t xml:space="preserve">1  </w:t>
      </w:r>
      <w:r>
        <w:rPr>
          <w:rFonts w:hint="eastAsia" w:cs="Times New Roman"/>
          <w:b/>
          <w:kern w:val="0"/>
        </w:rPr>
        <w:t>调查范围</w:t>
      </w:r>
    </w:p>
    <w:p>
      <w:pPr>
        <w:spacing w:line="360" w:lineRule="auto"/>
        <w:ind w:firstLine="480"/>
        <w:jc w:val="both"/>
        <w:rPr>
          <w:rFonts w:cs="Times New Roman"/>
        </w:rPr>
      </w:pPr>
      <w:r>
        <w:rPr>
          <w:rFonts w:hint="eastAsia" w:ascii="仿宋_GB2312" w:cs="Times New Roman"/>
        </w:rPr>
        <w:t>芜湖新兴投资开发有限责任公司通过公开招投标，确定</w:t>
      </w:r>
      <w:r>
        <w:rPr>
          <w:rFonts w:hint="eastAsia" w:cs="Times New Roman"/>
        </w:rPr>
        <w:t>南京大学环境规划设计研究院股份公司</w:t>
      </w:r>
      <w:r>
        <w:rPr>
          <w:rFonts w:cs="Times New Roman"/>
        </w:rPr>
        <w:t>（以下简称“南大环规院”）</w:t>
      </w:r>
      <w:r>
        <w:rPr>
          <w:rFonts w:hint="eastAsia" w:cs="Times New Roman"/>
        </w:rPr>
        <w:t>为该项目的承担单位，由项目承担单位按照招标文件及签订的技术服务合同约定，根据国家、地方相关标准、技术规范要求，开展项目场地环境初步调查工作。</w:t>
      </w:r>
    </w:p>
    <w:p>
      <w:pPr>
        <w:keepNext/>
        <w:keepLines/>
        <w:spacing w:before="120" w:after="120" w:line="360" w:lineRule="auto"/>
        <w:ind w:firstLine="0" w:firstLineChars="0"/>
        <w:jc w:val="both"/>
        <w:outlineLvl w:val="0"/>
        <w:rPr>
          <w:rFonts w:cs="Times New Roman"/>
          <w:b/>
          <w:bCs/>
          <w:kern w:val="44"/>
          <w:sz w:val="32"/>
          <w:szCs w:val="44"/>
        </w:rPr>
      </w:pPr>
      <w:r>
        <w:rPr>
          <w:rFonts w:cs="Times New Roman"/>
          <w:b/>
          <w:bCs/>
          <w:kern w:val="44"/>
          <w:sz w:val="32"/>
          <w:szCs w:val="44"/>
        </w:rPr>
        <w:t>2</w:t>
      </w:r>
      <w:r>
        <w:rPr>
          <w:rFonts w:hint="eastAsia" w:cs="Times New Roman"/>
          <w:b/>
          <w:bCs/>
          <w:kern w:val="44"/>
          <w:sz w:val="32"/>
          <w:szCs w:val="44"/>
        </w:rPr>
        <w:t>项目实施概况</w:t>
      </w:r>
    </w:p>
    <w:p>
      <w:pPr>
        <w:spacing w:line="360" w:lineRule="auto"/>
        <w:ind w:firstLineChars="0"/>
        <w:jc w:val="both"/>
        <w:rPr>
          <w:rFonts w:cs="Times New Roman"/>
          <w:kern w:val="0"/>
        </w:rPr>
      </w:pPr>
      <w:r>
        <w:rPr>
          <w:rFonts w:cs="Times New Roman"/>
          <w:kern w:val="0"/>
        </w:rPr>
        <w:t>南大环规院在搜集场地现状与历史使用情况及环境污染相关资料的基础上，</w:t>
      </w:r>
      <w:r>
        <w:rPr>
          <w:rFonts w:hint="eastAsia" w:cs="Times New Roman"/>
          <w:kern w:val="0"/>
        </w:rPr>
        <w:t>对项目场地展开现场踏勘和</w:t>
      </w:r>
      <w:r>
        <w:rPr>
          <w:rFonts w:cs="Times New Roman"/>
          <w:kern w:val="0"/>
        </w:rPr>
        <w:t>人员访谈</w:t>
      </w:r>
      <w:r>
        <w:rPr>
          <w:rFonts w:hint="eastAsia" w:cs="Times New Roman"/>
          <w:kern w:val="0"/>
        </w:rPr>
        <w:t>，按照国家有关导则要求制定初步调查采样方案，于201</w:t>
      </w:r>
      <w:r>
        <w:rPr>
          <w:rFonts w:hint="eastAsia" w:cs="Times New Roman"/>
          <w:kern w:val="0"/>
          <w:lang w:val="en-US" w:eastAsia="zh-CN"/>
        </w:rPr>
        <w:t>9</w:t>
      </w:r>
      <w:r>
        <w:rPr>
          <w:rFonts w:hint="eastAsia" w:cs="Times New Roman"/>
          <w:kern w:val="0"/>
        </w:rPr>
        <w:t>年</w:t>
      </w:r>
      <w:r>
        <w:rPr>
          <w:rFonts w:hint="eastAsia" w:cs="Times New Roman"/>
          <w:kern w:val="0"/>
          <w:lang w:val="en-US" w:eastAsia="zh-CN"/>
        </w:rPr>
        <w:t>2</w:t>
      </w:r>
      <w:r>
        <w:rPr>
          <w:rFonts w:hint="eastAsia" w:cs="Times New Roman"/>
          <w:kern w:val="0"/>
        </w:rPr>
        <w:t>月</w:t>
      </w:r>
      <w:r>
        <w:rPr>
          <w:rFonts w:hint="eastAsia" w:cs="Times New Roman"/>
          <w:kern w:val="0"/>
          <w:lang w:val="en-US" w:eastAsia="zh-CN"/>
        </w:rPr>
        <w:t>19</w:t>
      </w:r>
      <w:r>
        <w:rPr>
          <w:rFonts w:hint="eastAsia" w:cs="Times New Roman"/>
          <w:kern w:val="0"/>
        </w:rPr>
        <w:t>日至2019月2月</w:t>
      </w:r>
      <w:r>
        <w:rPr>
          <w:rFonts w:hint="eastAsia" w:cs="Times New Roman"/>
          <w:kern w:val="0"/>
          <w:lang w:val="en-US" w:eastAsia="zh-CN"/>
        </w:rPr>
        <w:t>26</w:t>
      </w:r>
      <w:r>
        <w:rPr>
          <w:rFonts w:hint="eastAsia" w:cs="Times New Roman"/>
          <w:kern w:val="0"/>
        </w:rPr>
        <w:t>日期间进场展开现场采样和检测工作，委托</w:t>
      </w:r>
      <w:r>
        <w:rPr>
          <w:rFonts w:hint="eastAsia" w:cs="Times New Roman"/>
          <w:kern w:val="0"/>
          <w:lang w:eastAsia="zh-CN"/>
        </w:rPr>
        <w:t>杭州中一检测研究院有限公司</w:t>
      </w:r>
      <w:r>
        <w:rPr>
          <w:rFonts w:hint="eastAsia" w:cs="Times New Roman"/>
          <w:kern w:val="0"/>
        </w:rPr>
        <w:t>（以下简称“</w:t>
      </w:r>
      <w:r>
        <w:rPr>
          <w:rFonts w:hint="eastAsia" w:cs="Times New Roman"/>
          <w:kern w:val="0"/>
          <w:lang w:eastAsia="zh-CN"/>
        </w:rPr>
        <w:t>杭州中一</w:t>
      </w:r>
      <w:r>
        <w:rPr>
          <w:rFonts w:hint="eastAsia" w:cs="Times New Roman"/>
          <w:kern w:val="0"/>
        </w:rPr>
        <w:t>”）负责采集样品并进行实验室检测分析。之后，南大环规院对康达检测出具的检测报告数据进行深入分析，编制了《芜湖新兴铸管弋江老厂区</w:t>
      </w:r>
      <w:r>
        <w:rPr>
          <w:rFonts w:hint="eastAsia" w:cs="Times New Roman"/>
          <w:kern w:val="0"/>
          <w:lang w:val="en-US" w:eastAsia="zh-CN"/>
        </w:rPr>
        <w:t>10</w:t>
      </w:r>
      <w:r>
        <w:rPr>
          <w:rFonts w:hint="eastAsia" w:cs="Times New Roman"/>
          <w:kern w:val="0"/>
        </w:rPr>
        <w:t>#地块场地环境初步调查报告》（以下简称《报告》），</w:t>
      </w:r>
      <w:r>
        <w:rPr>
          <w:rFonts w:cs="Times New Roman"/>
          <w:kern w:val="0"/>
        </w:rPr>
        <w:t>并于</w:t>
      </w:r>
      <w:r>
        <w:rPr>
          <w:rFonts w:hint="eastAsia" w:cs="Times New Roman"/>
          <w:kern w:val="0"/>
        </w:rPr>
        <w:t>2019年4月25日顺利</w:t>
      </w:r>
      <w:r>
        <w:rPr>
          <w:rFonts w:cs="Times New Roman"/>
          <w:kern w:val="0"/>
        </w:rPr>
        <w:t>通过</w:t>
      </w:r>
      <w:r>
        <w:rPr>
          <w:rFonts w:hint="eastAsia" w:cs="Times New Roman"/>
          <w:kern w:val="0"/>
        </w:rPr>
        <w:t>了芜湖市生态环境局会同芜湖市自然资源和规划局、国有土地收购储备中心、弋江区生态环境分局等在芜湖市组织召开的项目报告技术评审会。</w:t>
      </w:r>
    </w:p>
    <w:p>
      <w:pPr>
        <w:keepNext/>
        <w:keepLines/>
        <w:spacing w:before="120" w:after="120" w:line="360" w:lineRule="auto"/>
        <w:ind w:firstLine="0" w:firstLineChars="0"/>
        <w:jc w:val="both"/>
        <w:outlineLvl w:val="0"/>
        <w:rPr>
          <w:rFonts w:cs="Times New Roman"/>
          <w:b/>
          <w:bCs/>
          <w:kern w:val="44"/>
          <w:sz w:val="32"/>
          <w:szCs w:val="44"/>
        </w:rPr>
      </w:pPr>
      <w:r>
        <w:rPr>
          <w:rFonts w:cs="Times New Roman"/>
          <w:b/>
          <w:bCs/>
          <w:kern w:val="44"/>
          <w:sz w:val="32"/>
          <w:szCs w:val="44"/>
        </w:rPr>
        <w:t>3</w:t>
      </w:r>
      <w:r>
        <w:rPr>
          <w:rFonts w:hint="eastAsia" w:cs="Times New Roman"/>
          <w:b/>
          <w:bCs/>
          <w:kern w:val="44"/>
          <w:sz w:val="32"/>
          <w:szCs w:val="44"/>
        </w:rPr>
        <w:t>点位布设</w:t>
      </w:r>
      <w:r>
        <w:rPr>
          <w:rFonts w:cs="Times New Roman"/>
          <w:b/>
          <w:bCs/>
          <w:kern w:val="44"/>
          <w:sz w:val="32"/>
          <w:szCs w:val="44"/>
        </w:rPr>
        <w:t>、采样及</w:t>
      </w:r>
      <w:r>
        <w:rPr>
          <w:rFonts w:hint="eastAsia" w:cs="Times New Roman"/>
          <w:b/>
          <w:bCs/>
          <w:kern w:val="44"/>
          <w:sz w:val="32"/>
          <w:szCs w:val="44"/>
        </w:rPr>
        <w:t>监测</w:t>
      </w:r>
    </w:p>
    <w:p>
      <w:pPr>
        <w:keepNext/>
        <w:keepLines/>
        <w:spacing w:before="120" w:after="120" w:line="360" w:lineRule="auto"/>
        <w:ind w:firstLine="0" w:firstLineChars="0"/>
        <w:jc w:val="both"/>
        <w:outlineLvl w:val="1"/>
        <w:rPr>
          <w:rFonts w:cs="Times New Roman"/>
          <w:b/>
          <w:bCs/>
          <w:sz w:val="30"/>
          <w:szCs w:val="32"/>
        </w:rPr>
      </w:pPr>
      <w:bookmarkStart w:id="3" w:name="_Toc6384522"/>
      <w:r>
        <w:rPr>
          <w:rFonts w:cs="Times New Roman"/>
          <w:b/>
          <w:bCs/>
          <w:sz w:val="30"/>
          <w:szCs w:val="32"/>
        </w:rPr>
        <w:t>3.1</w:t>
      </w:r>
      <w:bookmarkEnd w:id="3"/>
      <w:r>
        <w:rPr>
          <w:rFonts w:hint="eastAsia" w:cs="Times New Roman"/>
          <w:b/>
          <w:bCs/>
          <w:sz w:val="30"/>
          <w:szCs w:val="32"/>
        </w:rPr>
        <w:t>点位布设及</w:t>
      </w:r>
      <w:r>
        <w:rPr>
          <w:rFonts w:cs="Times New Roman"/>
          <w:b/>
          <w:bCs/>
          <w:sz w:val="30"/>
          <w:szCs w:val="32"/>
        </w:rPr>
        <w:t>采样</w:t>
      </w:r>
    </w:p>
    <w:p>
      <w:pPr>
        <w:spacing w:line="360" w:lineRule="auto"/>
        <w:ind w:firstLine="480" w:firstLineChars="0"/>
        <w:jc w:val="both"/>
        <w:rPr>
          <w:rFonts w:cs="Times New Roman"/>
          <w:kern w:val="0"/>
        </w:rPr>
      </w:pPr>
      <w:r>
        <w:rPr>
          <w:rFonts w:hint="eastAsia" w:cs="Times New Roman"/>
          <w:kern w:val="0"/>
        </w:rPr>
        <w:t>根据</w:t>
      </w:r>
      <w:r>
        <w:rPr>
          <w:rFonts w:cs="Times New Roman"/>
          <w:kern w:val="0"/>
        </w:rPr>
        <w:t>国家相关导则规范</w:t>
      </w:r>
      <w:r>
        <w:rPr>
          <w:rFonts w:hint="eastAsia" w:cs="Times New Roman"/>
          <w:kern w:val="0"/>
        </w:rPr>
        <w:t>要求</w:t>
      </w:r>
      <w:r>
        <w:rPr>
          <w:rFonts w:cs="Times New Roman"/>
          <w:kern w:val="0"/>
        </w:rPr>
        <w:t>，</w:t>
      </w:r>
      <w:r>
        <w:rPr>
          <w:rFonts w:cs="Times New Roman"/>
          <w:kern w:val="0"/>
          <w:shd w:val="clear" w:color="auto" w:fill="FFFFFF"/>
        </w:rPr>
        <w:t>按照40m×40m划定网格，重点对疑似污染区进行布点与采样分析，以识别污染区域和污染物。</w:t>
      </w:r>
      <w:r>
        <w:rPr>
          <w:rFonts w:hint="eastAsia" w:cs="Times New Roman"/>
          <w:kern w:val="0"/>
          <w:shd w:val="clear" w:color="auto" w:fill="FFFFFF"/>
        </w:rPr>
        <w:t>共计布设</w:t>
      </w:r>
      <w:r>
        <w:rPr>
          <w:rFonts w:hint="eastAsia" w:cs="Times New Roman"/>
          <w:kern w:val="0"/>
          <w:shd w:val="clear" w:color="auto" w:fill="FFFFFF"/>
          <w:lang w:val="en-US" w:eastAsia="zh-CN"/>
        </w:rPr>
        <w:t>114</w:t>
      </w:r>
      <w:r>
        <w:rPr>
          <w:rFonts w:hint="eastAsia" w:cs="Times New Roman"/>
          <w:kern w:val="0"/>
          <w:shd w:val="clear" w:color="auto" w:fill="FFFFFF"/>
        </w:rPr>
        <w:t>个土壤调查点，</w:t>
      </w:r>
      <w:r>
        <w:rPr>
          <w:rFonts w:hint="eastAsia" w:cs="Times New Roman"/>
          <w:kern w:val="0"/>
        </w:rPr>
        <w:t>采样总深度达</w:t>
      </w:r>
      <w:r>
        <w:rPr>
          <w:rFonts w:hint="eastAsia" w:cs="Times New Roman"/>
          <w:kern w:val="0"/>
          <w:lang w:val="en-US" w:eastAsia="zh-CN"/>
        </w:rPr>
        <w:t>405</w:t>
      </w:r>
      <w:r>
        <w:rPr>
          <w:rFonts w:hint="eastAsia" w:cs="Times New Roman"/>
          <w:kern w:val="0"/>
        </w:rPr>
        <w:t>m，送检土壤样品</w:t>
      </w:r>
      <w:r>
        <w:rPr>
          <w:rFonts w:hint="eastAsia" w:cs="Times New Roman"/>
          <w:kern w:val="0"/>
          <w:lang w:val="en-US" w:eastAsia="zh-CN"/>
        </w:rPr>
        <w:t>380</w:t>
      </w:r>
      <w:r>
        <w:rPr>
          <w:rFonts w:hint="eastAsia" w:cs="Times New Roman"/>
          <w:kern w:val="0"/>
        </w:rPr>
        <w:t>个，另外包括</w:t>
      </w:r>
      <w:r>
        <w:rPr>
          <w:rFonts w:hint="eastAsia" w:cs="Times New Roman"/>
          <w:kern w:val="0"/>
          <w:lang w:val="en-US" w:eastAsia="zh-CN"/>
        </w:rPr>
        <w:t>39</w:t>
      </w:r>
      <w:r>
        <w:rPr>
          <w:rFonts w:hint="eastAsia" w:cs="Times New Roman"/>
          <w:kern w:val="0"/>
        </w:rPr>
        <w:t>个平行样。</w:t>
      </w:r>
      <w:r>
        <w:rPr>
          <w:rFonts w:hint="eastAsia"/>
          <w:lang w:eastAsia="zh-CN"/>
        </w:rPr>
        <w:t>在场地外布设</w:t>
      </w:r>
      <w:r>
        <w:rPr>
          <w:rFonts w:hint="eastAsia"/>
          <w:lang w:val="en-US" w:eastAsia="zh-CN"/>
        </w:rPr>
        <w:t>3个土壤对照点</w:t>
      </w:r>
      <w:r>
        <w:rPr>
          <w:szCs w:val="28"/>
        </w:rPr>
        <w:t>。</w:t>
      </w:r>
    </w:p>
    <w:p>
      <w:pPr>
        <w:spacing w:line="360" w:lineRule="auto"/>
        <w:ind w:firstLine="480" w:firstLineChars="0"/>
        <w:jc w:val="both"/>
        <w:rPr>
          <w:rFonts w:cs="Times New Roman"/>
          <w:kern w:val="0"/>
        </w:rPr>
      </w:pPr>
      <w:r>
        <w:rPr>
          <w:rFonts w:hint="eastAsia" w:cs="Times New Roman"/>
          <w:kern w:val="0"/>
        </w:rPr>
        <w:t>选取土壤采样点中的</w:t>
      </w:r>
      <w:r>
        <w:rPr>
          <w:rFonts w:hint="eastAsia" w:cs="Times New Roman"/>
          <w:kern w:val="0"/>
          <w:lang w:val="en-US" w:eastAsia="zh-CN"/>
        </w:rPr>
        <w:t>8</w:t>
      </w:r>
      <w:r>
        <w:rPr>
          <w:rFonts w:hint="eastAsia" w:cs="Times New Roman"/>
          <w:kern w:val="0"/>
        </w:rPr>
        <w:t>个点位兼做地下水监测井，建井总深度为</w:t>
      </w:r>
      <w:r>
        <w:rPr>
          <w:rFonts w:hint="eastAsia" w:cs="Times New Roman"/>
          <w:kern w:val="0"/>
          <w:lang w:val="en-US" w:eastAsia="zh-CN"/>
        </w:rPr>
        <w:t>51</w:t>
      </w:r>
      <w:r>
        <w:rPr>
          <w:rFonts w:hint="eastAsia" w:cs="Times New Roman"/>
          <w:kern w:val="0"/>
        </w:rPr>
        <w:t>m；送检地下水样品</w:t>
      </w:r>
      <w:r>
        <w:rPr>
          <w:rFonts w:hint="eastAsia" w:cs="Times New Roman"/>
          <w:kern w:val="0"/>
          <w:lang w:val="en-US" w:eastAsia="zh-CN"/>
        </w:rPr>
        <w:t>8</w:t>
      </w:r>
      <w:r>
        <w:rPr>
          <w:rFonts w:hint="eastAsia" w:cs="Times New Roman"/>
          <w:kern w:val="0"/>
        </w:rPr>
        <w:t>个</w:t>
      </w:r>
      <w:r>
        <w:rPr>
          <w:rFonts w:hint="eastAsia" w:cs="Times New Roman"/>
          <w:kern w:val="0"/>
          <w:lang w:eastAsia="zh-CN"/>
        </w:rPr>
        <w:t>，</w:t>
      </w:r>
      <w:r>
        <w:rPr>
          <w:rFonts w:hint="eastAsia" w:cs="Times New Roman"/>
          <w:kern w:val="0"/>
        </w:rPr>
        <w:t>另外包括</w:t>
      </w:r>
      <w:r>
        <w:rPr>
          <w:rFonts w:hint="eastAsia" w:cs="Times New Roman"/>
          <w:kern w:val="0"/>
          <w:lang w:val="en-US" w:eastAsia="zh-CN"/>
        </w:rPr>
        <w:t>1</w:t>
      </w:r>
      <w:r>
        <w:rPr>
          <w:rFonts w:hint="eastAsia" w:cs="Times New Roman"/>
          <w:kern w:val="0"/>
        </w:rPr>
        <w:t>个平行样。</w:t>
      </w:r>
      <w:r>
        <w:rPr>
          <w:rFonts w:hint="eastAsia"/>
          <w:lang w:eastAsia="zh-CN"/>
        </w:rPr>
        <w:t>在场地外布设</w:t>
      </w:r>
      <w:r>
        <w:rPr>
          <w:rFonts w:hint="eastAsia"/>
          <w:lang w:val="en-US" w:eastAsia="zh-CN"/>
        </w:rPr>
        <w:t>1个地下水对照点</w:t>
      </w:r>
      <w:r>
        <w:rPr>
          <w:szCs w:val="28"/>
        </w:rPr>
        <w:t>。</w:t>
      </w:r>
    </w:p>
    <w:p>
      <w:pPr>
        <w:ind w:firstLine="480"/>
        <w:jc w:val="both"/>
        <w:rPr>
          <w:rFonts w:cs="Times New Roman"/>
          <w:szCs w:val="28"/>
        </w:rPr>
      </w:pPr>
      <w:bookmarkStart w:id="4" w:name="OLE_LINK302"/>
      <w:r>
        <w:rPr>
          <w:rFonts w:hint="eastAsia" w:cs="Times New Roman"/>
          <w:szCs w:val="28"/>
        </w:rPr>
        <w:t>送检场地内地表积水样品</w:t>
      </w:r>
      <w:r>
        <w:rPr>
          <w:rFonts w:hint="eastAsia" w:cs="Times New Roman"/>
          <w:szCs w:val="28"/>
          <w:lang w:val="en-US" w:eastAsia="zh-CN"/>
        </w:rPr>
        <w:t>3</w:t>
      </w:r>
      <w:r>
        <w:rPr>
          <w:rFonts w:hint="eastAsia" w:cs="Times New Roman"/>
          <w:szCs w:val="28"/>
        </w:rPr>
        <w:t>个</w:t>
      </w:r>
      <w:bookmarkEnd w:id="4"/>
      <w:r>
        <w:rPr>
          <w:rFonts w:hint="eastAsia" w:cs="Times New Roman"/>
          <w:szCs w:val="28"/>
          <w:lang w:eastAsia="zh-CN"/>
        </w:rPr>
        <w:t>，固废样品</w:t>
      </w:r>
      <w:r>
        <w:rPr>
          <w:rFonts w:hint="eastAsia" w:cs="Times New Roman"/>
          <w:szCs w:val="28"/>
          <w:lang w:val="en-US" w:eastAsia="zh-CN"/>
        </w:rPr>
        <w:t>3个，底泥样品3个</w:t>
      </w:r>
      <w:r>
        <w:rPr>
          <w:rFonts w:hint="eastAsia" w:cs="Times New Roman"/>
          <w:szCs w:val="28"/>
        </w:rPr>
        <w:t>。</w:t>
      </w:r>
    </w:p>
    <w:p>
      <w:pPr>
        <w:keepNext/>
        <w:keepLines/>
        <w:spacing w:before="120" w:after="120" w:line="360" w:lineRule="auto"/>
        <w:ind w:firstLine="0" w:firstLineChars="0"/>
        <w:jc w:val="both"/>
        <w:outlineLvl w:val="1"/>
        <w:rPr>
          <w:rFonts w:cs="Times New Roman"/>
          <w:b/>
          <w:bCs/>
          <w:sz w:val="30"/>
          <w:szCs w:val="32"/>
        </w:rPr>
      </w:pPr>
      <w:r>
        <w:rPr>
          <w:rFonts w:cs="Times New Roman"/>
          <w:b/>
          <w:bCs/>
          <w:sz w:val="30"/>
          <w:szCs w:val="32"/>
        </w:rPr>
        <w:t>3.2</w:t>
      </w:r>
      <w:r>
        <w:rPr>
          <w:rFonts w:hint="eastAsia" w:cs="Times New Roman"/>
          <w:b/>
          <w:bCs/>
          <w:sz w:val="30"/>
          <w:szCs w:val="32"/>
        </w:rPr>
        <w:t>监测因子</w:t>
      </w:r>
    </w:p>
    <w:p>
      <w:pPr>
        <w:spacing w:line="360" w:lineRule="auto"/>
        <w:ind w:firstLine="480" w:firstLineChars="0"/>
        <w:jc w:val="both"/>
        <w:rPr>
          <w:rFonts w:cs="Times New Roman"/>
          <w:kern w:val="0"/>
        </w:rPr>
      </w:pPr>
      <w:r>
        <w:rPr>
          <w:rFonts w:hint="eastAsia" w:cs="Times New Roman"/>
          <w:kern w:val="0"/>
        </w:rPr>
        <w:t>本次采样监测对象包括土壤样品、地下水样品</w:t>
      </w:r>
      <w:r>
        <w:rPr>
          <w:rFonts w:hint="eastAsia" w:cs="Times New Roman"/>
          <w:kern w:val="0"/>
          <w:lang w:eastAsia="zh-CN"/>
        </w:rPr>
        <w:t>、</w:t>
      </w:r>
      <w:r>
        <w:rPr>
          <w:rFonts w:hint="eastAsia" w:cs="Times New Roman"/>
          <w:kern w:val="0"/>
        </w:rPr>
        <w:t>地表积水样品</w:t>
      </w:r>
      <w:r>
        <w:rPr>
          <w:rFonts w:hint="eastAsia" w:cs="Times New Roman"/>
          <w:kern w:val="0"/>
          <w:lang w:eastAsia="zh-CN"/>
        </w:rPr>
        <w:t>、固废样品和底泥样品</w:t>
      </w:r>
      <w:r>
        <w:rPr>
          <w:rFonts w:hint="eastAsia" w:cs="Times New Roman"/>
          <w:kern w:val="0"/>
        </w:rPr>
        <w:t>等</w:t>
      </w:r>
      <w:r>
        <w:rPr>
          <w:rFonts w:hint="eastAsia" w:cs="Times New Roman"/>
          <w:kern w:val="0"/>
          <w:lang w:val="en-US" w:eastAsia="zh-CN"/>
        </w:rPr>
        <w:t>5</w:t>
      </w:r>
      <w:r>
        <w:rPr>
          <w:rFonts w:hint="eastAsia" w:cs="Times New Roman"/>
          <w:kern w:val="0"/>
        </w:rPr>
        <w:t>类。</w:t>
      </w:r>
    </w:p>
    <w:p>
      <w:pPr>
        <w:spacing w:line="360" w:lineRule="auto"/>
        <w:ind w:firstLine="480" w:firstLineChars="0"/>
        <w:jc w:val="both"/>
        <w:rPr>
          <w:rFonts w:cs="Times New Roman"/>
          <w:kern w:val="0"/>
        </w:rPr>
      </w:pPr>
      <w:r>
        <w:rPr>
          <w:rFonts w:hint="eastAsia" w:cs="Times New Roman"/>
          <w:kern w:val="0"/>
        </w:rPr>
        <w:t>（1）</w:t>
      </w:r>
      <w:bookmarkStart w:id="5" w:name="OLE_LINK271"/>
      <w:r>
        <w:rPr>
          <w:rFonts w:hint="eastAsia" w:cs="Times New Roman"/>
          <w:kern w:val="0"/>
        </w:rPr>
        <w:t>土壤监测指标（包括但不限于</w:t>
      </w:r>
      <w:r>
        <w:rPr>
          <w:rFonts w:cs="Times New Roman"/>
          <w:kern w:val="0"/>
        </w:rPr>
        <w:t>GB36600-2018</w:t>
      </w:r>
      <w:r>
        <w:rPr>
          <w:rFonts w:hint="eastAsia" w:cs="Times New Roman"/>
          <w:kern w:val="0"/>
        </w:rPr>
        <w:t>标准中的</w:t>
      </w:r>
      <w:r>
        <w:rPr>
          <w:rFonts w:cs="Times New Roman"/>
          <w:kern w:val="0"/>
        </w:rPr>
        <w:t>45</w:t>
      </w:r>
      <w:r>
        <w:rPr>
          <w:rFonts w:hint="eastAsia" w:cs="Times New Roman"/>
          <w:kern w:val="0"/>
        </w:rPr>
        <w:t>个基本检测项目）包括：pH、</w:t>
      </w:r>
      <w:r>
        <w:t>重金属与无机物</w:t>
      </w:r>
      <w:r>
        <w:rPr>
          <w:rFonts w:hint="eastAsia"/>
        </w:rPr>
        <w:t>（</w:t>
      </w:r>
      <w:r>
        <w:t>铜、铬、镉、镍、锌、锑、铅、铍、砷、硒、银、铊、汞、六价铬、氰化物、氟化物</w:t>
      </w:r>
      <w:r>
        <w:rPr>
          <w:rFonts w:hint="eastAsia"/>
        </w:rPr>
        <w:t>）、</w:t>
      </w:r>
      <w:r>
        <w:t>VOCs、SVOCs、TPH；</w:t>
      </w:r>
    </w:p>
    <w:p>
      <w:pPr>
        <w:spacing w:line="360" w:lineRule="auto"/>
        <w:ind w:firstLine="480" w:firstLineChars="0"/>
        <w:jc w:val="both"/>
        <w:rPr>
          <w:rFonts w:cs="Times New Roman"/>
          <w:kern w:val="0"/>
        </w:rPr>
      </w:pPr>
      <w:r>
        <w:rPr>
          <w:rFonts w:hint="eastAsia" w:cs="Times New Roman"/>
          <w:kern w:val="0"/>
        </w:rPr>
        <w:t>（2）地下水监测指标包括：pH、重金属与无机物（</w:t>
      </w:r>
      <w:r>
        <w:rPr>
          <w:rFonts w:cs="Times New Roman"/>
          <w:kern w:val="0"/>
        </w:rPr>
        <w:t>铜、铅、镍、镉、汞、砷</w:t>
      </w:r>
      <w:r>
        <w:rPr>
          <w:rFonts w:hint="eastAsia" w:cs="Times New Roman"/>
          <w:kern w:val="0"/>
        </w:rPr>
        <w:t>、六价铬、氟化物）、</w:t>
      </w:r>
      <w:r>
        <w:rPr>
          <w:rFonts w:cs="Times New Roman"/>
          <w:kern w:val="0"/>
        </w:rPr>
        <w:t>VOCs、SVOCs、TPH；</w:t>
      </w:r>
    </w:p>
    <w:p>
      <w:pPr>
        <w:spacing w:line="360" w:lineRule="auto"/>
        <w:ind w:firstLine="480" w:firstLineChars="0"/>
        <w:jc w:val="both"/>
      </w:pPr>
      <w:r>
        <w:rPr>
          <w:rFonts w:hint="eastAsia" w:cs="Times New Roman"/>
          <w:kern w:val="0"/>
        </w:rPr>
        <w:t>（3）地表水监测指标包括：pH、</w:t>
      </w:r>
      <w:r>
        <w:t>重金属与无机物</w:t>
      </w:r>
      <w:r>
        <w:rPr>
          <w:rFonts w:hint="eastAsia"/>
        </w:rPr>
        <w:t>（</w:t>
      </w:r>
      <w:r>
        <w:t>铜、铬、镉、镍、锌、锑、铅、铍、砷、硒、银、铊、汞、氰化物、氟化物</w:t>
      </w:r>
      <w:r>
        <w:rPr>
          <w:rFonts w:hint="eastAsia"/>
        </w:rPr>
        <w:t>）、</w:t>
      </w:r>
      <w:r>
        <w:t>VOCs、SVOCs</w:t>
      </w:r>
      <w:r>
        <w:rPr>
          <w:rFonts w:hint="eastAsia"/>
        </w:rPr>
        <w:t>、</w:t>
      </w:r>
      <w:r>
        <w:t>TPH；</w:t>
      </w:r>
    </w:p>
    <w:p>
      <w:pPr>
        <w:spacing w:line="360" w:lineRule="auto"/>
        <w:ind w:firstLine="480" w:firstLineChars="0"/>
        <w:jc w:val="both"/>
        <w:rPr>
          <w:rFonts w:hint="eastAsia"/>
          <w:lang w:val="en-US" w:eastAsia="zh-CN"/>
        </w:rPr>
      </w:pPr>
      <w:r>
        <w:rPr>
          <w:rFonts w:hint="eastAsia"/>
          <w:lang w:eastAsia="zh-CN"/>
        </w:rPr>
        <w:t>（</w:t>
      </w:r>
      <w:r>
        <w:rPr>
          <w:rFonts w:hint="eastAsia"/>
          <w:lang w:val="en-US" w:eastAsia="zh-CN"/>
        </w:rPr>
        <w:t>4</w:t>
      </w:r>
      <w:r>
        <w:rPr>
          <w:rFonts w:hint="eastAsia"/>
          <w:lang w:eastAsia="zh-CN"/>
        </w:rPr>
        <w:t>）固废监测指标包括：</w:t>
      </w:r>
      <w:r>
        <w:rPr>
          <w:rFonts w:hint="eastAsia"/>
          <w:lang w:val="en-US" w:eastAsia="zh-CN"/>
        </w:rPr>
        <w:t>pH、重金属与无机物（</w:t>
      </w:r>
      <w:r>
        <w:rPr>
          <w:rFonts w:hint="eastAsia"/>
        </w:rPr>
        <w:t>镍、银、砷、汞、铊、锑、铍、硒、六价铬、氟化物、氰化物</w:t>
      </w:r>
      <w:r>
        <w:rPr>
          <w:rFonts w:hint="eastAsia"/>
          <w:lang w:val="en-US" w:eastAsia="zh-CN"/>
        </w:rPr>
        <w:t>）、VOCs、SVOCs浸出液浓度；</w:t>
      </w:r>
    </w:p>
    <w:p>
      <w:pPr>
        <w:spacing w:line="360" w:lineRule="auto"/>
        <w:ind w:firstLine="480" w:firstLineChars="0"/>
        <w:jc w:val="both"/>
        <w:rPr>
          <w:rFonts w:hint="default"/>
          <w:lang w:val="en-US" w:eastAsia="zh-CN"/>
        </w:rPr>
      </w:pPr>
      <w:r>
        <w:rPr>
          <w:rFonts w:hint="eastAsia"/>
          <w:lang w:val="en-US" w:eastAsia="zh-CN"/>
        </w:rPr>
        <w:t>（5）底泥监测指标包括：</w:t>
      </w:r>
      <w:r>
        <w:rPr>
          <w:rFonts w:hint="eastAsia" w:cs="Times New Roman"/>
          <w:kern w:val="0"/>
        </w:rPr>
        <w:t>pH、</w:t>
      </w:r>
      <w:r>
        <w:t>重金属与无机物</w:t>
      </w:r>
      <w:r>
        <w:rPr>
          <w:rFonts w:hint="eastAsia"/>
        </w:rPr>
        <w:t>（</w:t>
      </w:r>
      <w:r>
        <w:t>铜、铬、镉、镍、锌、锑、铅、铍、砷、硒、银、铊、汞、六价铬、氰化物、氟化物</w:t>
      </w:r>
      <w:r>
        <w:rPr>
          <w:rFonts w:hint="eastAsia"/>
        </w:rPr>
        <w:t>）、</w:t>
      </w:r>
      <w:r>
        <w:t>VOCs、SVOCs、TPH；</w:t>
      </w:r>
    </w:p>
    <w:bookmarkEnd w:id="5"/>
    <w:p>
      <w:pPr>
        <w:keepNext/>
        <w:keepLines/>
        <w:spacing w:before="120" w:after="120" w:line="360" w:lineRule="auto"/>
        <w:ind w:firstLine="0" w:firstLineChars="0"/>
        <w:jc w:val="both"/>
        <w:outlineLvl w:val="0"/>
        <w:rPr>
          <w:rFonts w:cs="Times New Roman"/>
          <w:b/>
          <w:bCs/>
          <w:kern w:val="44"/>
          <w:sz w:val="32"/>
          <w:szCs w:val="44"/>
        </w:rPr>
      </w:pPr>
      <w:bookmarkStart w:id="6" w:name="_Toc6384615"/>
      <w:r>
        <w:rPr>
          <w:rFonts w:cs="Times New Roman"/>
          <w:b/>
          <w:bCs/>
          <w:kern w:val="44"/>
          <w:sz w:val="32"/>
          <w:szCs w:val="44"/>
        </w:rPr>
        <w:t>4</w:t>
      </w:r>
      <w:r>
        <w:rPr>
          <w:rFonts w:hint="eastAsia" w:cs="Times New Roman"/>
          <w:b/>
          <w:bCs/>
          <w:kern w:val="44"/>
          <w:sz w:val="32"/>
          <w:szCs w:val="44"/>
        </w:rPr>
        <w:t>结论</w:t>
      </w:r>
      <w:bookmarkEnd w:id="6"/>
    </w:p>
    <w:p>
      <w:pPr>
        <w:keepNext/>
        <w:keepLines/>
        <w:spacing w:before="120" w:after="120" w:line="360" w:lineRule="auto"/>
        <w:ind w:firstLine="0" w:firstLineChars="0"/>
        <w:jc w:val="both"/>
        <w:outlineLvl w:val="1"/>
        <w:rPr>
          <w:rFonts w:cs="Times New Roman"/>
          <w:b/>
          <w:bCs/>
          <w:sz w:val="30"/>
          <w:szCs w:val="32"/>
        </w:rPr>
      </w:pPr>
      <w:bookmarkStart w:id="7" w:name="_Toc6384618"/>
      <w:bookmarkStart w:id="8" w:name="_Toc528071179"/>
      <w:bookmarkStart w:id="9" w:name="OLE_LINK255"/>
      <w:bookmarkStart w:id="10" w:name="OLE_LINK256"/>
      <w:r>
        <w:rPr>
          <w:rFonts w:cs="Times New Roman"/>
          <w:b/>
          <w:bCs/>
          <w:sz w:val="30"/>
          <w:szCs w:val="32"/>
        </w:rPr>
        <w:t>4.1</w:t>
      </w:r>
      <w:r>
        <w:rPr>
          <w:rFonts w:hint="eastAsia" w:cs="Times New Roman"/>
          <w:b/>
          <w:bCs/>
          <w:sz w:val="30"/>
          <w:szCs w:val="32"/>
        </w:rPr>
        <w:t>土壤样品分析评价结果</w:t>
      </w:r>
      <w:bookmarkEnd w:id="7"/>
      <w:bookmarkEnd w:id="8"/>
    </w:p>
    <w:p>
      <w:pPr>
        <w:spacing w:line="360" w:lineRule="auto"/>
        <w:ind w:firstLine="480" w:firstLineChars="0"/>
        <w:jc w:val="both"/>
        <w:rPr>
          <w:rFonts w:cs="Times New Roman"/>
          <w:kern w:val="0"/>
        </w:rPr>
      </w:pPr>
      <w:r>
        <w:rPr>
          <w:rFonts w:hint="eastAsia" w:cs="Times New Roman"/>
          <w:kern w:val="0"/>
        </w:rPr>
        <w:t>场地</w:t>
      </w:r>
      <w:r>
        <w:rPr>
          <w:rFonts w:cs="Times New Roman"/>
          <w:kern w:val="0"/>
        </w:rPr>
        <w:t>土壤</w:t>
      </w:r>
      <w:r>
        <w:rPr>
          <w:rFonts w:hint="eastAsia" w:cs="Times New Roman"/>
          <w:kern w:val="0"/>
        </w:rPr>
        <w:t>pH值</w:t>
      </w:r>
      <w:r>
        <w:rPr>
          <w:rFonts w:cs="Times New Roman"/>
          <w:kern w:val="0"/>
        </w:rPr>
        <w:t>普遍为碱性，与</w:t>
      </w:r>
      <w:r>
        <w:rPr>
          <w:rFonts w:hint="eastAsia" w:cs="Times New Roman"/>
          <w:kern w:val="0"/>
        </w:rPr>
        <w:t>场地生产历史中</w:t>
      </w:r>
      <w:r>
        <w:t>原辅材料及钢渣中的氧化钙</w:t>
      </w:r>
      <w:r>
        <w:rPr>
          <w:rFonts w:cs="Times New Roman"/>
          <w:kern w:val="0"/>
        </w:rPr>
        <w:t>有关</w:t>
      </w:r>
      <w:r>
        <w:rPr>
          <w:rFonts w:hint="eastAsia" w:cs="Times New Roman"/>
          <w:kern w:val="0"/>
        </w:rPr>
        <w:t>。土壤样品检出1</w:t>
      </w:r>
      <w:r>
        <w:rPr>
          <w:rFonts w:hint="eastAsia" w:cs="Times New Roman"/>
          <w:kern w:val="0"/>
          <w:lang w:val="en-US" w:eastAsia="zh-CN"/>
        </w:rPr>
        <w:t>3</w:t>
      </w:r>
      <w:r>
        <w:rPr>
          <w:rFonts w:hint="eastAsia" w:cs="Times New Roman"/>
          <w:kern w:val="0"/>
        </w:rPr>
        <w:t>种重金属（</w:t>
      </w:r>
      <w:r>
        <w:t>铜、铬、镉、镍、锌、锑、铅、铍、砷、硒、银、铊、汞</w:t>
      </w:r>
      <w:r>
        <w:rPr>
          <w:rFonts w:hint="eastAsia" w:cs="Times New Roman"/>
          <w:kern w:val="0"/>
        </w:rPr>
        <w:t>）、六价铬、氟化物和氰化物、</w:t>
      </w:r>
      <w:r>
        <w:rPr>
          <w:rFonts w:cs="Times New Roman"/>
          <w:kern w:val="0"/>
        </w:rPr>
        <w:t>TPH</w:t>
      </w:r>
      <w:r>
        <w:rPr>
          <w:rFonts w:hint="eastAsia" w:cs="Times New Roman"/>
          <w:kern w:val="0"/>
        </w:rPr>
        <w:t>、</w:t>
      </w:r>
      <w:r>
        <w:rPr>
          <w:rFonts w:cs="Times New Roman"/>
          <w:kern w:val="0"/>
        </w:rPr>
        <w:t>SVOCs</w:t>
      </w:r>
      <w:r>
        <w:rPr>
          <w:rFonts w:hint="eastAsia" w:cs="Times New Roman"/>
          <w:kern w:val="0"/>
        </w:rPr>
        <w:t>（</w:t>
      </w:r>
      <w:r>
        <w:rPr>
          <w:rFonts w:hint="eastAsia" w:cs="Times New Roman"/>
          <w:kern w:val="0"/>
          <w:lang w:val="en-US" w:eastAsia="zh-CN"/>
        </w:rPr>
        <w:t>9</w:t>
      </w:r>
      <w:r>
        <w:rPr>
          <w:rFonts w:cs="Times New Roman"/>
          <w:kern w:val="0"/>
        </w:rPr>
        <w:t>种</w:t>
      </w:r>
      <w:r>
        <w:rPr>
          <w:rFonts w:hint="eastAsia" w:cs="Times New Roman"/>
          <w:kern w:val="0"/>
        </w:rPr>
        <w:t>）、</w:t>
      </w:r>
      <w:r>
        <w:rPr>
          <w:rFonts w:cs="Times New Roman"/>
          <w:kern w:val="0"/>
        </w:rPr>
        <w:t>VOCs</w:t>
      </w:r>
      <w:r>
        <w:rPr>
          <w:rFonts w:hint="eastAsia" w:cs="Times New Roman"/>
          <w:kern w:val="0"/>
        </w:rPr>
        <w:t>（</w:t>
      </w:r>
      <w:r>
        <w:rPr>
          <w:rFonts w:hint="eastAsia" w:cs="Times New Roman"/>
          <w:kern w:val="0"/>
          <w:lang w:val="en-US" w:eastAsia="zh-CN"/>
        </w:rPr>
        <w:t>10</w:t>
      </w:r>
      <w:r>
        <w:rPr>
          <w:rFonts w:hint="eastAsia" w:cs="Times New Roman"/>
          <w:kern w:val="0"/>
        </w:rPr>
        <w:t>种），未检出</w:t>
      </w:r>
      <w:r>
        <w:rPr>
          <w:rFonts w:hint="eastAsia"/>
        </w:rPr>
        <w:t>其他有机污染指标</w:t>
      </w:r>
      <w:r>
        <w:rPr>
          <w:rFonts w:hint="eastAsia" w:cs="Times New Roman"/>
          <w:kern w:val="0"/>
        </w:rPr>
        <w:t>。</w:t>
      </w:r>
    </w:p>
    <w:p>
      <w:pPr>
        <w:spacing w:line="360" w:lineRule="auto"/>
        <w:ind w:firstLine="480" w:firstLineChars="0"/>
        <w:jc w:val="both"/>
        <w:rPr>
          <w:rFonts w:cs="Times New Roman"/>
        </w:rPr>
      </w:pPr>
      <w:r>
        <w:rPr>
          <w:rFonts w:hint="eastAsia" w:cs="Times New Roman"/>
        </w:rPr>
        <w:t>筛选结果表明：</w:t>
      </w:r>
      <w:r>
        <w:t>所有点位的全部检测指标均未超出《土壤环境质量 建设用地土壤污染风险管控标准（试行）》（GB36600-2018）</w:t>
      </w:r>
      <w:r>
        <w:rPr>
          <w:rFonts w:hint="eastAsia"/>
          <w:lang w:eastAsia="zh-CN"/>
        </w:rPr>
        <w:t>中相应</w:t>
      </w:r>
      <w:r>
        <w:t>用地筛选值标准</w:t>
      </w:r>
      <w:r>
        <w:rPr>
          <w:rFonts w:hint="eastAsia" w:cs="Times New Roman"/>
        </w:rPr>
        <w:t>。</w:t>
      </w:r>
    </w:p>
    <w:p>
      <w:pPr>
        <w:keepNext/>
        <w:keepLines/>
        <w:spacing w:before="120" w:after="120" w:line="360" w:lineRule="auto"/>
        <w:ind w:firstLine="0" w:firstLineChars="0"/>
        <w:jc w:val="both"/>
        <w:outlineLvl w:val="1"/>
        <w:rPr>
          <w:rFonts w:cs="Times New Roman"/>
          <w:b/>
          <w:bCs/>
          <w:sz w:val="30"/>
          <w:szCs w:val="32"/>
        </w:rPr>
      </w:pPr>
      <w:bookmarkStart w:id="11" w:name="_Toc528071180"/>
      <w:bookmarkStart w:id="12" w:name="_Toc6384619"/>
      <w:r>
        <w:rPr>
          <w:rFonts w:cs="Times New Roman"/>
          <w:b/>
          <w:bCs/>
          <w:sz w:val="30"/>
          <w:szCs w:val="32"/>
        </w:rPr>
        <w:t>4.2</w:t>
      </w:r>
      <w:r>
        <w:rPr>
          <w:rFonts w:hint="eastAsia" w:cs="Times New Roman"/>
          <w:b/>
          <w:bCs/>
          <w:sz w:val="30"/>
          <w:szCs w:val="32"/>
        </w:rPr>
        <w:t>地下水样品分析评价结果</w:t>
      </w:r>
      <w:bookmarkEnd w:id="11"/>
      <w:bookmarkEnd w:id="12"/>
    </w:p>
    <w:p>
      <w:pPr>
        <w:spacing w:line="480" w:lineRule="exact"/>
        <w:ind w:firstLine="480"/>
        <w:jc w:val="both"/>
        <w:rPr>
          <w:rFonts w:cs="Times New Roman"/>
          <w:kern w:val="0"/>
        </w:rPr>
      </w:pPr>
      <w:r>
        <w:rPr>
          <w:rFonts w:hint="eastAsia" w:cs="Times New Roman"/>
          <w:kern w:val="0"/>
        </w:rPr>
        <w:t>场地内浅层地下水稳定水位埋深为</w:t>
      </w:r>
      <w:r>
        <w:rPr>
          <w:rFonts w:hint="eastAsia" w:cs="Times New Roman"/>
          <w:kern w:val="0"/>
          <w:lang w:val="en-US" w:eastAsia="zh-CN"/>
        </w:rPr>
        <w:t>0.50</w:t>
      </w:r>
      <w:r>
        <w:rPr>
          <w:rFonts w:hint="eastAsia" w:cs="Times New Roman"/>
          <w:kern w:val="0"/>
        </w:rPr>
        <w:t>~</w:t>
      </w:r>
      <w:r>
        <w:rPr>
          <w:rFonts w:hint="eastAsia" w:cs="Times New Roman"/>
          <w:kern w:val="0"/>
          <w:lang w:val="en-US" w:eastAsia="zh-CN"/>
        </w:rPr>
        <w:t>2.32</w:t>
      </w:r>
      <w:r>
        <w:rPr>
          <w:rFonts w:hint="eastAsia" w:cs="Times New Roman"/>
          <w:kern w:val="0"/>
        </w:rPr>
        <w:t>m。地下水样品中检出</w:t>
      </w:r>
      <w:r>
        <w:rPr>
          <w:rFonts w:hint="eastAsia"/>
          <w:lang w:eastAsia="zh-CN"/>
        </w:rPr>
        <w:t>铬、镍、铜、锌、砷、硒、锑、铊、铅、汞、萘、</w:t>
      </w:r>
      <w:r>
        <w:rPr>
          <w:rFonts w:hint="eastAsia"/>
          <w:lang w:val="en-US" w:eastAsia="zh-CN"/>
        </w:rPr>
        <w:t>1,1-二氯乙烯、1,1-二氯乙烷、苯、1,2-二氯乙烷、甲苯、氯苯、氟化物、氰化物和总石油烃</w:t>
      </w:r>
      <w:r>
        <w:rPr>
          <w:rFonts w:hint="eastAsia" w:cs="Times New Roman"/>
          <w:kern w:val="0"/>
        </w:rPr>
        <w:t>，未检出</w:t>
      </w:r>
      <w:r>
        <w:rPr>
          <w:rFonts w:hint="eastAsia" w:cs="Times New Roman"/>
          <w:kern w:val="0"/>
          <w:lang w:eastAsia="zh-CN"/>
        </w:rPr>
        <w:t>银、铍、镉</w:t>
      </w:r>
      <w:r>
        <w:rPr>
          <w:rFonts w:hint="eastAsia"/>
          <w:lang w:eastAsia="zh-CN"/>
        </w:rPr>
        <w:t>以及其余有机污染物</w:t>
      </w:r>
      <w:r>
        <w:rPr>
          <w:rFonts w:hint="eastAsia" w:cs="Times New Roman"/>
          <w:kern w:val="0"/>
        </w:rPr>
        <w:t>。</w:t>
      </w:r>
    </w:p>
    <w:p>
      <w:pPr>
        <w:spacing w:line="360" w:lineRule="auto"/>
        <w:ind w:firstLine="480"/>
        <w:jc w:val="both"/>
        <w:rPr>
          <w:rFonts w:cs="Times New Roman"/>
        </w:rPr>
      </w:pPr>
      <w:r>
        <w:rPr>
          <w:rFonts w:hint="eastAsia" w:cs="Times New Roman"/>
        </w:rPr>
        <w:t>筛选结果表明：所有点位的全部检测指标均未超出《地下水质量标准》（GB/T14848-2017）中的III类标准。</w:t>
      </w:r>
    </w:p>
    <w:p>
      <w:pPr>
        <w:keepNext/>
        <w:keepLines/>
        <w:spacing w:before="120" w:after="120" w:line="360" w:lineRule="auto"/>
        <w:ind w:firstLine="0" w:firstLineChars="0"/>
        <w:jc w:val="both"/>
        <w:outlineLvl w:val="1"/>
        <w:rPr>
          <w:rFonts w:cs="Times New Roman"/>
          <w:b/>
          <w:bCs/>
          <w:sz w:val="30"/>
          <w:szCs w:val="32"/>
        </w:rPr>
      </w:pPr>
      <w:bookmarkStart w:id="13" w:name="_Toc6384620"/>
      <w:bookmarkStart w:id="14" w:name="_Toc528071181"/>
      <w:r>
        <w:rPr>
          <w:rFonts w:cs="Times New Roman"/>
          <w:b/>
          <w:bCs/>
          <w:sz w:val="30"/>
          <w:szCs w:val="32"/>
        </w:rPr>
        <w:t>4.3</w:t>
      </w:r>
      <w:r>
        <w:rPr>
          <w:rFonts w:hint="eastAsia" w:cs="Times New Roman"/>
          <w:b/>
          <w:bCs/>
          <w:sz w:val="30"/>
          <w:szCs w:val="32"/>
        </w:rPr>
        <w:t>地表积水样品分析评价结果</w:t>
      </w:r>
      <w:bookmarkEnd w:id="13"/>
      <w:bookmarkEnd w:id="14"/>
    </w:p>
    <w:p>
      <w:pPr>
        <w:spacing w:line="360" w:lineRule="auto"/>
        <w:ind w:firstLine="480"/>
        <w:jc w:val="both"/>
        <w:rPr>
          <w:rFonts w:cs="Times New Roman"/>
          <w:kern w:val="0"/>
        </w:rPr>
      </w:pPr>
      <w:bookmarkStart w:id="15" w:name="OLE_LINK269"/>
      <w:r>
        <w:rPr>
          <w:rFonts w:hint="eastAsia" w:cs="Times New Roman"/>
          <w:kern w:val="0"/>
        </w:rPr>
        <w:t>地表积水</w:t>
      </w:r>
      <w:r>
        <w:rPr>
          <w:rFonts w:cs="Times New Roman"/>
          <w:kern w:val="0"/>
        </w:rPr>
        <w:t>pH</w:t>
      </w:r>
      <w:r>
        <w:rPr>
          <w:rFonts w:hint="eastAsia" w:cs="Times New Roman"/>
          <w:kern w:val="0"/>
        </w:rPr>
        <w:t>值</w:t>
      </w:r>
      <w:r>
        <w:rPr>
          <w:rFonts w:cs="Times New Roman"/>
          <w:kern w:val="0"/>
        </w:rPr>
        <w:t>偏碱性</w:t>
      </w:r>
      <w:r>
        <w:rPr>
          <w:rFonts w:hint="eastAsia" w:cs="Times New Roman"/>
          <w:kern w:val="0"/>
        </w:rPr>
        <w:t>，检出</w:t>
      </w:r>
      <w:r>
        <w:rPr>
          <w:rFonts w:hint="eastAsia"/>
          <w:lang w:eastAsia="zh-CN"/>
        </w:rPr>
        <w:t>铬、镍、铜、锌、砷、硒、锑、铊、铅、银、汞</w:t>
      </w:r>
      <w:r>
        <w:t>、氟化物、氰化物和TPH</w:t>
      </w:r>
      <w:r>
        <w:rPr>
          <w:rFonts w:hint="eastAsia" w:cs="Times New Roman"/>
          <w:kern w:val="0"/>
        </w:rPr>
        <w:t>，</w:t>
      </w:r>
      <w:r>
        <w:rPr>
          <w:rFonts w:hint="eastAsia" w:cs="Times New Roman"/>
          <w:kern w:val="0"/>
          <w:lang w:eastAsia="zh-CN"/>
        </w:rPr>
        <w:t>其余均未检出</w:t>
      </w:r>
      <w:r>
        <w:rPr>
          <w:rFonts w:hint="eastAsia" w:cs="Times New Roman"/>
          <w:kern w:val="0"/>
        </w:rPr>
        <w:t>。</w:t>
      </w:r>
    </w:p>
    <w:p>
      <w:pPr>
        <w:spacing w:line="360" w:lineRule="auto"/>
        <w:ind w:firstLine="480"/>
        <w:jc w:val="both"/>
        <w:rPr>
          <w:rFonts w:hint="eastAsia" w:cs="Times New Roman"/>
        </w:rPr>
      </w:pPr>
      <w:r>
        <w:rPr>
          <w:rFonts w:hint="eastAsia" w:cs="Times New Roman"/>
        </w:rPr>
        <w:t>筛选结果表明，</w:t>
      </w:r>
      <w:r>
        <w:t>所有指标均满足《地表水环境质量标准》（GB 3838-2002）中Ⅳ类标准或者集中式生活饮用水地表水源地特定项目标准限值</w:t>
      </w:r>
      <w:r>
        <w:rPr>
          <w:rFonts w:hint="eastAsia" w:cs="Times New Roman"/>
        </w:rPr>
        <w:t>。</w:t>
      </w:r>
    </w:p>
    <w:p>
      <w:pPr>
        <w:keepNext/>
        <w:keepLines/>
        <w:spacing w:before="120" w:after="120" w:line="360" w:lineRule="auto"/>
        <w:ind w:firstLine="0" w:firstLineChars="0"/>
        <w:jc w:val="both"/>
        <w:outlineLvl w:val="1"/>
        <w:rPr>
          <w:rFonts w:hint="eastAsia" w:cs="Times New Roman"/>
          <w:b/>
          <w:bCs/>
          <w:sz w:val="30"/>
          <w:szCs w:val="32"/>
          <w:lang w:val="en-US" w:eastAsia="zh-CN"/>
        </w:rPr>
      </w:pPr>
      <w:r>
        <w:rPr>
          <w:rFonts w:hint="eastAsia" w:cs="Times New Roman"/>
          <w:b/>
          <w:bCs/>
          <w:sz w:val="30"/>
          <w:szCs w:val="32"/>
          <w:lang w:val="en-US" w:eastAsia="zh-CN"/>
        </w:rPr>
        <w:t>4.4固废样品分析评价结果</w:t>
      </w:r>
    </w:p>
    <w:p>
      <w:pPr>
        <w:spacing w:line="360" w:lineRule="auto"/>
        <w:ind w:firstLine="480"/>
        <w:jc w:val="both"/>
        <w:rPr>
          <w:rFonts w:hint="eastAsia"/>
          <w:lang w:eastAsia="zh-CN"/>
        </w:rPr>
      </w:pPr>
      <w:r>
        <w:rPr>
          <w:rFonts w:eastAsia="仿宋_GB2312"/>
        </w:rPr>
        <w:t>地表残留固体浸出液中检出少量</w:t>
      </w:r>
      <w:r>
        <w:rPr>
          <w:rFonts w:hint="eastAsia" w:eastAsia="仿宋_GB2312"/>
        </w:rPr>
        <w:t>砷、汞、硒、氟化物、氰化物和三氯甲烷</w:t>
      </w:r>
      <w:r>
        <w:rPr>
          <w:rFonts w:hint="eastAsia"/>
          <w:lang w:eastAsia="zh-CN"/>
        </w:rPr>
        <w:t>，其余均为检出。</w:t>
      </w:r>
    </w:p>
    <w:p>
      <w:pPr>
        <w:spacing w:line="360" w:lineRule="auto"/>
        <w:ind w:firstLine="480"/>
        <w:jc w:val="both"/>
        <w:rPr>
          <w:rFonts w:hint="eastAsia"/>
          <w:lang w:eastAsia="zh-CN"/>
        </w:rPr>
      </w:pPr>
      <w:r>
        <w:rPr>
          <w:rFonts w:hint="eastAsia" w:cs="Times New Roman"/>
        </w:rPr>
        <w:t>筛选结果表明，</w:t>
      </w:r>
      <w:r>
        <w:rPr>
          <w:rFonts w:hint="eastAsia" w:cs="Times New Roman"/>
          <w:lang w:eastAsia="zh-CN"/>
        </w:rPr>
        <w:t>所有指标均满足</w:t>
      </w:r>
      <w:r>
        <w:rPr>
          <w:rFonts w:hint="eastAsia" w:eastAsia="仿宋_GB2312"/>
        </w:rPr>
        <w:t>《危险废物鉴别标准</w:t>
      </w:r>
      <w:r>
        <w:rPr>
          <w:rFonts w:eastAsia="仿宋_GB2312"/>
        </w:rPr>
        <w:t xml:space="preserve"> 浸出毒性鉴别》（GB5085.3-2007）</w:t>
      </w:r>
      <w:r>
        <w:rPr>
          <w:rFonts w:hint="eastAsia"/>
          <w:lang w:eastAsia="zh-CN"/>
        </w:rPr>
        <w:t>中浓度限值。</w:t>
      </w:r>
    </w:p>
    <w:p>
      <w:pPr>
        <w:keepNext/>
        <w:keepLines/>
        <w:spacing w:before="120" w:after="120" w:line="360" w:lineRule="auto"/>
        <w:ind w:firstLine="0" w:firstLineChars="0"/>
        <w:jc w:val="both"/>
        <w:outlineLvl w:val="1"/>
        <w:rPr>
          <w:rFonts w:hint="eastAsia" w:cs="Times New Roman"/>
          <w:b/>
          <w:bCs/>
          <w:sz w:val="30"/>
          <w:szCs w:val="32"/>
          <w:lang w:val="en-US" w:eastAsia="zh-CN"/>
        </w:rPr>
      </w:pPr>
      <w:r>
        <w:rPr>
          <w:rFonts w:hint="eastAsia" w:cs="Times New Roman"/>
          <w:b/>
          <w:bCs/>
          <w:sz w:val="30"/>
          <w:szCs w:val="32"/>
          <w:lang w:val="en-US" w:eastAsia="zh-CN"/>
        </w:rPr>
        <w:t>4.5底泥样品分析评价结果</w:t>
      </w:r>
    </w:p>
    <w:p>
      <w:pPr>
        <w:ind w:firstLine="480"/>
        <w:rPr>
          <w:rFonts w:hint="eastAsia" w:eastAsia="仿宋_GB2312"/>
        </w:rPr>
      </w:pPr>
      <w:r>
        <w:rPr>
          <w:rFonts w:hint="eastAsia" w:eastAsia="仿宋_GB2312"/>
        </w:rPr>
        <w:t>底泥样品中重金属13项</w:t>
      </w:r>
      <w:r>
        <w:rPr>
          <w:rFonts w:hint="eastAsia"/>
          <w:lang w:eastAsia="zh-CN"/>
        </w:rPr>
        <w:t>（</w:t>
      </w:r>
      <w:r>
        <w:t>铜、铬、镉、镍、锌、锑、铅、铍、砷、硒、银、铊、汞</w:t>
      </w:r>
      <w:r>
        <w:rPr>
          <w:rFonts w:hint="eastAsia"/>
          <w:lang w:eastAsia="zh-CN"/>
        </w:rPr>
        <w:t>）</w:t>
      </w:r>
      <w:r>
        <w:rPr>
          <w:rFonts w:hint="eastAsia" w:eastAsia="仿宋_GB2312"/>
        </w:rPr>
        <w:t>、六价铬和氰化物均检出，有机物仅检出苯、甲苯、乙苯、间/对二甲苯、邻二甲苯、苯乙烯和萘</w:t>
      </w:r>
      <w:r>
        <w:rPr>
          <w:rFonts w:hint="eastAsia"/>
          <w:lang w:eastAsia="zh-CN"/>
        </w:rPr>
        <w:t>，其余均未检出</w:t>
      </w:r>
      <w:r>
        <w:rPr>
          <w:rFonts w:hint="eastAsia" w:eastAsia="仿宋_GB2312"/>
        </w:rPr>
        <w:t>。</w:t>
      </w:r>
    </w:p>
    <w:p>
      <w:pPr>
        <w:ind w:firstLine="480"/>
        <w:rPr>
          <w:rFonts w:hint="eastAsia" w:eastAsia="仿宋_GB2312"/>
        </w:rPr>
      </w:pPr>
      <w:r>
        <w:rPr>
          <w:rFonts w:hint="eastAsia" w:cs="Times New Roman"/>
        </w:rPr>
        <w:t>筛选结果表明，</w:t>
      </w:r>
      <w:r>
        <w:t>所有点位的全部检测指标均未超出《土壤环境质量 建设用地土壤污染风险管控标准（试行）》（GB36600-2018）</w:t>
      </w:r>
      <w:r>
        <w:rPr>
          <w:rFonts w:hint="eastAsia"/>
          <w:lang w:eastAsia="zh-CN"/>
        </w:rPr>
        <w:t>中相应</w:t>
      </w:r>
      <w:r>
        <w:t>用地筛选值标准</w:t>
      </w:r>
      <w:r>
        <w:rPr>
          <w:rFonts w:hint="eastAsia" w:cs="Times New Roman"/>
        </w:rPr>
        <w:t>。</w:t>
      </w:r>
    </w:p>
    <w:p>
      <w:pPr>
        <w:spacing w:line="360" w:lineRule="auto"/>
        <w:ind w:firstLine="480"/>
        <w:jc w:val="both"/>
        <w:rPr>
          <w:rFonts w:hint="default"/>
          <w:lang w:val="en-US" w:eastAsia="zh-CN"/>
        </w:rPr>
      </w:pPr>
    </w:p>
    <w:p>
      <w:pPr>
        <w:spacing w:line="360" w:lineRule="auto"/>
        <w:ind w:firstLine="480"/>
        <w:jc w:val="both"/>
        <w:rPr>
          <w:rFonts w:hint="eastAsia" w:cs="Times New Roman"/>
        </w:rPr>
      </w:pPr>
    </w:p>
    <w:bookmarkEnd w:id="9"/>
    <w:bookmarkEnd w:id="10"/>
    <w:bookmarkEnd w:id="15"/>
    <w:p>
      <w:pPr>
        <w:keepNext/>
        <w:keepLines/>
        <w:spacing w:before="120" w:after="120" w:line="360" w:lineRule="auto"/>
        <w:ind w:firstLine="0" w:firstLineChars="0"/>
        <w:jc w:val="both"/>
        <w:outlineLvl w:val="0"/>
        <w:rPr>
          <w:rFonts w:cs="Times New Roman"/>
          <w:b/>
          <w:bCs/>
          <w:kern w:val="44"/>
          <w:sz w:val="32"/>
          <w:szCs w:val="44"/>
        </w:rPr>
      </w:pPr>
      <w:bookmarkStart w:id="16" w:name="_Toc528071186"/>
      <w:bookmarkStart w:id="17" w:name="_Toc6384622"/>
      <w:r>
        <w:rPr>
          <w:rFonts w:cs="Times New Roman"/>
          <w:b/>
          <w:bCs/>
          <w:kern w:val="44"/>
          <w:sz w:val="32"/>
          <w:szCs w:val="44"/>
        </w:rPr>
        <w:t>5</w:t>
      </w:r>
      <w:r>
        <w:rPr>
          <w:rFonts w:hint="eastAsia" w:cs="Times New Roman"/>
          <w:b/>
          <w:bCs/>
          <w:kern w:val="44"/>
          <w:sz w:val="32"/>
          <w:szCs w:val="44"/>
          <w:lang w:eastAsia="zh-CN"/>
        </w:rPr>
        <w:t>结论和</w:t>
      </w:r>
      <w:r>
        <w:rPr>
          <w:rFonts w:hint="eastAsia" w:cs="Times New Roman"/>
          <w:b/>
          <w:bCs/>
          <w:kern w:val="44"/>
          <w:sz w:val="32"/>
          <w:szCs w:val="44"/>
        </w:rPr>
        <w:t>建议</w:t>
      </w:r>
      <w:bookmarkEnd w:id="16"/>
      <w:bookmarkEnd w:id="17"/>
    </w:p>
    <w:p>
      <w:pPr>
        <w:ind w:firstLine="480"/>
        <w:rPr>
          <w:rFonts w:hint="eastAsia" w:eastAsia="仿宋_GB2312"/>
          <w:lang w:val="en-US" w:eastAsia="zh-CN"/>
        </w:rPr>
      </w:pPr>
      <w:r>
        <w:rPr>
          <w:rFonts w:hint="eastAsia"/>
          <w:lang w:val="en-US" w:eastAsia="zh-CN"/>
        </w:rPr>
        <w:t>（1）</w:t>
      </w:r>
      <w:r>
        <w:rPr>
          <w:rFonts w:hint="eastAsia" w:cs="Times New Roman"/>
          <w:kern w:val="0"/>
        </w:rPr>
        <w:t>本场地土壤中污染物含量未超国家和地方有关建设用地土壤污染风险管控标准（筛选值），对人体健康的风险可以忽略，无须开展后续详细调查和风险评估。</w:t>
      </w:r>
    </w:p>
    <w:p>
      <w:pPr>
        <w:ind w:firstLine="480"/>
        <w:rPr>
          <w:rFonts w:hint="eastAsia" w:eastAsia="仿宋_GB2312"/>
          <w:lang w:val="en-US" w:eastAsia="zh-CN"/>
        </w:rPr>
      </w:pPr>
      <w:r>
        <w:rPr>
          <w:rFonts w:hint="eastAsia" w:eastAsia="仿宋_GB2312"/>
          <w:lang w:val="en-US" w:eastAsia="zh-CN"/>
        </w:rPr>
        <w:t>（</w:t>
      </w:r>
      <w:r>
        <w:rPr>
          <w:rFonts w:hint="eastAsia"/>
          <w:lang w:val="en-US" w:eastAsia="zh-CN"/>
        </w:rPr>
        <w:t>2</w:t>
      </w:r>
      <w:r>
        <w:rPr>
          <w:rFonts w:hint="eastAsia" w:eastAsia="仿宋_GB2312"/>
          <w:lang w:val="en-US" w:eastAsia="zh-CN"/>
        </w:rPr>
        <w:t>）在进行采样调查时，场地内仍堆积大量的废渣，不排除这些废渣上附着的污染物进一步扩散的可能，在开发建设前，应按照相关的废渣处置方案要求妥善处置。</w:t>
      </w:r>
    </w:p>
    <w:p>
      <w:pPr>
        <w:ind w:firstLine="480"/>
        <w:rPr>
          <w:rFonts w:hint="eastAsia" w:eastAsia="仿宋_GB2312"/>
        </w:rPr>
      </w:pPr>
      <w:r>
        <w:rPr>
          <w:rFonts w:hint="eastAsia" w:eastAsia="仿宋_GB2312"/>
          <w:lang w:val="en-US" w:eastAsia="zh-CN"/>
        </w:rPr>
        <w:t>（</w:t>
      </w:r>
      <w:r>
        <w:rPr>
          <w:rFonts w:hint="eastAsia"/>
          <w:lang w:val="en-US" w:eastAsia="zh-CN"/>
        </w:rPr>
        <w:t>3</w:t>
      </w:r>
      <w:r>
        <w:rPr>
          <w:rFonts w:hint="eastAsia" w:eastAsia="仿宋_GB2312"/>
          <w:lang w:val="en-US" w:eastAsia="zh-CN"/>
        </w:rPr>
        <w:t>）</w:t>
      </w:r>
      <w:r>
        <w:rPr>
          <w:rFonts w:hint="eastAsia" w:eastAsia="仿宋_GB2312"/>
        </w:rPr>
        <w:t>场地内地表积水pH过高，其他指标均</w:t>
      </w:r>
      <w:r>
        <w:rPr>
          <w:rFonts w:eastAsia="仿宋_GB2312"/>
        </w:rPr>
        <w:t>满足Ⅳ类标准或者集中式生活饮用水地表水源地特定项目标准限值</w:t>
      </w:r>
      <w:r>
        <w:rPr>
          <w:rFonts w:hint="eastAsia" w:eastAsia="仿宋_GB2312"/>
        </w:rPr>
        <w:t>，</w:t>
      </w:r>
      <w:r>
        <w:rPr>
          <w:rFonts w:hint="eastAsia" w:eastAsia="仿宋_GB2312"/>
          <w:lang w:eastAsia="zh-CN"/>
        </w:rPr>
        <w:t>考虑到场地未来规划，场地内的地表积水将完全清除掉，因此地表积水</w:t>
      </w:r>
      <w:r>
        <w:rPr>
          <w:rFonts w:hint="eastAsia" w:eastAsia="仿宋_GB2312"/>
        </w:rPr>
        <w:t>需处理达到污水处理厂接管要求后</w:t>
      </w:r>
      <w:r>
        <w:rPr>
          <w:rFonts w:hint="eastAsia" w:eastAsia="仿宋_GB2312"/>
          <w:lang w:eastAsia="zh-CN"/>
        </w:rPr>
        <w:t>接入污水管网集中处理</w:t>
      </w:r>
      <w:r>
        <w:rPr>
          <w:rFonts w:hint="eastAsia" w:eastAsia="仿宋_GB2312"/>
        </w:rPr>
        <w:t>。</w:t>
      </w:r>
    </w:p>
    <w:p>
      <w:pPr>
        <w:ind w:firstLine="480"/>
        <w:rPr>
          <w:rFonts w:hint="default" w:eastAsia="仿宋_GB2312"/>
          <w:lang w:val="en-US" w:eastAsia="zh-CN"/>
        </w:rPr>
      </w:pPr>
      <w:r>
        <w:rPr>
          <w:rFonts w:hint="eastAsia" w:eastAsia="仿宋_GB2312"/>
          <w:lang w:val="en-US" w:eastAsia="zh-CN"/>
        </w:rPr>
        <w:t>（</w:t>
      </w:r>
      <w:r>
        <w:rPr>
          <w:rFonts w:hint="eastAsia"/>
          <w:lang w:val="en-US" w:eastAsia="zh-CN"/>
        </w:rPr>
        <w:t>4</w:t>
      </w:r>
      <w:r>
        <w:rPr>
          <w:rFonts w:hint="eastAsia" w:eastAsia="仿宋_GB2312"/>
          <w:lang w:val="en-US" w:eastAsia="zh-CN"/>
        </w:rPr>
        <w:t>）场地内锻造车间区域、渣场区域及部分固废堆积区域土壤pH碱性高，土壤碱性高不利于植被的生长。建议利用碱性土壤修复试剂对碱性土壤进行处理，将土壤pH调节至中性。</w:t>
      </w:r>
    </w:p>
    <w:p>
      <w:pPr>
        <w:ind w:firstLine="480"/>
        <w:rPr>
          <w:rFonts w:hint="eastAsia" w:eastAsia="仿宋_GB2312"/>
          <w:lang w:val="en-US" w:eastAsia="zh-CN"/>
        </w:rPr>
      </w:pPr>
      <w:r>
        <w:rPr>
          <w:rFonts w:hint="eastAsia" w:eastAsia="仿宋_GB2312"/>
          <w:lang w:eastAsia="zh-CN"/>
        </w:rPr>
        <w:t>（</w:t>
      </w:r>
      <w:r>
        <w:rPr>
          <w:rFonts w:hint="eastAsia"/>
          <w:lang w:val="en-US" w:eastAsia="zh-CN"/>
        </w:rPr>
        <w:t>5</w:t>
      </w:r>
      <w:r>
        <w:rPr>
          <w:rFonts w:hint="eastAsia" w:eastAsia="仿宋_GB2312"/>
          <w:lang w:eastAsia="zh-CN"/>
        </w:rPr>
        <w:t>）场地周边地块正在开发建设，应加强本场地的管理，设立围墙围挡。确保本场地不受外来二次污染。</w:t>
      </w:r>
    </w:p>
    <w:p>
      <w:pPr>
        <w:spacing w:line="360" w:lineRule="auto"/>
        <w:ind w:firstLine="482" w:firstLineChars="0"/>
        <w:jc w:val="both"/>
        <w:rPr>
          <w:rFonts w:hint="eastAsia" w:cs="Times New Roman"/>
          <w:kern w:val="0"/>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682583"/>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1</w:t>
        </w:r>
        <w:r>
          <w:fldChar w:fldCharType="end"/>
        </w:r>
      </w:p>
    </w:sdtContent>
  </w:sdt>
  <w:p>
    <w:pPr>
      <w:pStyle w:val="3"/>
      <w:ind w:firstLine="360"/>
      <w:jc w:val="right"/>
    </w:pPr>
    <w:r>
      <w:rPr>
        <w:rFonts w:hint="eastAsia"/>
      </w:rPr>
      <w:t>南京大学环境规划设计研究院股份公司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2209186"/>
      <w:docPartObj>
        <w:docPartGallery w:val="autotext"/>
      </w:docPartObj>
    </w:sdtPr>
    <w:sdtEndPr>
      <w:rPr>
        <w:rFonts w:cs="Times New Roman"/>
      </w:rPr>
    </w:sdtEndPr>
    <w:sdtContent>
      <w:p>
        <w:pPr>
          <w:pStyle w:val="3"/>
          <w:pBdr>
            <w:top w:val="single" w:color="auto" w:sz="4" w:space="1"/>
          </w:pBdr>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2</w:t>
        </w:r>
        <w:r>
          <w:rPr>
            <w:rFonts w:cs="Times New Roman"/>
          </w:rPr>
          <w:fldChar w:fldCharType="end"/>
        </w:r>
      </w:p>
    </w:sdtContent>
  </w:sdt>
  <w:p>
    <w:pPr>
      <w:pStyle w:val="3"/>
      <w:ind w:firstLine="360"/>
      <w:jc w:val="right"/>
    </w:pPr>
    <w:r>
      <w:rPr>
        <w:rFonts w:hint="eastAsia"/>
      </w:rPr>
      <w:t>南京大学环境规划设计研究院股份公司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spacing w:line="240" w:lineRule="auto"/>
      <w:ind w:firstLine="0" w:firstLineChars="0"/>
    </w:pPr>
    <w:bookmarkStart w:id="18" w:name="OLE_LINK11"/>
    <w:bookmarkStart w:id="19" w:name="_Hlk5338372"/>
    <w:bookmarkStart w:id="20" w:name="OLE_LINK12"/>
    <w:bookmarkStart w:id="21" w:name="_Hlk5338158"/>
    <w:bookmarkStart w:id="22" w:name="OLE_LINK9"/>
    <w:bookmarkStart w:id="23" w:name="OLE_LINK5"/>
    <w:r>
      <w:rPr>
        <w:rFonts w:hint="eastAsia"/>
      </w:rPr>
      <w:t>安庆新曙光精细化工有限公司华中东路316号地块土壤环境初步调查报告</w:t>
    </w:r>
    <w:bookmarkEnd w:id="18"/>
    <w:bookmarkEnd w:id="19"/>
    <w:bookmarkEnd w:id="20"/>
    <w:bookmarkEnd w:id="21"/>
    <w:bookmarkEnd w:id="22"/>
    <w:bookmarkEnd w:id="2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rFonts w:hint="eastAsia"/>
      </w:rPr>
      <w:t>芜湖新兴铸管弋江老厂区</w:t>
    </w:r>
    <w:r>
      <w:rPr>
        <w:rFonts w:hint="eastAsia"/>
        <w:lang w:val="en-US" w:eastAsia="zh-CN"/>
      </w:rPr>
      <w:t>10</w:t>
    </w:r>
    <w:r>
      <w:rPr>
        <w:rFonts w:hint="eastAsia"/>
      </w:rPr>
      <w:t>#地块场地环境初步调查报告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57"/>
    <w:rsid w:val="0000023C"/>
    <w:rsid w:val="000D0A3B"/>
    <w:rsid w:val="000E1371"/>
    <w:rsid w:val="00147BBF"/>
    <w:rsid w:val="00151246"/>
    <w:rsid w:val="00166C6D"/>
    <w:rsid w:val="00191B9B"/>
    <w:rsid w:val="002110D7"/>
    <w:rsid w:val="002460C3"/>
    <w:rsid w:val="002F1FE1"/>
    <w:rsid w:val="003944B3"/>
    <w:rsid w:val="004063EF"/>
    <w:rsid w:val="00423AF4"/>
    <w:rsid w:val="004B31C7"/>
    <w:rsid w:val="004B35A9"/>
    <w:rsid w:val="00563254"/>
    <w:rsid w:val="00592DF0"/>
    <w:rsid w:val="0061645F"/>
    <w:rsid w:val="00631605"/>
    <w:rsid w:val="00673057"/>
    <w:rsid w:val="006D5AF1"/>
    <w:rsid w:val="006E3D18"/>
    <w:rsid w:val="006F6882"/>
    <w:rsid w:val="0070502C"/>
    <w:rsid w:val="00776357"/>
    <w:rsid w:val="007904C9"/>
    <w:rsid w:val="007F37E7"/>
    <w:rsid w:val="00821054"/>
    <w:rsid w:val="00837ACB"/>
    <w:rsid w:val="00876CEF"/>
    <w:rsid w:val="00894EA7"/>
    <w:rsid w:val="0091234F"/>
    <w:rsid w:val="009346A1"/>
    <w:rsid w:val="00967D1A"/>
    <w:rsid w:val="00A34883"/>
    <w:rsid w:val="00A52A08"/>
    <w:rsid w:val="00A90B28"/>
    <w:rsid w:val="00A94B4E"/>
    <w:rsid w:val="00AC7057"/>
    <w:rsid w:val="00AF163C"/>
    <w:rsid w:val="00B50251"/>
    <w:rsid w:val="00CB0A7A"/>
    <w:rsid w:val="00CB7868"/>
    <w:rsid w:val="00D24E9E"/>
    <w:rsid w:val="00F201F5"/>
    <w:rsid w:val="00F62E00"/>
    <w:rsid w:val="00FA449B"/>
    <w:rsid w:val="00FD0D55"/>
    <w:rsid w:val="00FE5608"/>
    <w:rsid w:val="66666762"/>
    <w:rsid w:val="7D1F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ind w:firstLine="200" w:firstLineChars="200"/>
    </w:pPr>
    <w:rPr>
      <w:rFonts w:ascii="Times New Roman" w:hAnsi="Times New Roman" w:eastAsia="仿宋_GB2312" w:cstheme="minorBidi"/>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ind w:firstLine="200"/>
    </w:pPr>
    <w:rPr>
      <w:rFonts w:ascii="Times New Roman" w:hAnsi="Times New Roman" w:eastAsia="仿宋_GB231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rFonts w:ascii="Times New Roman" w:hAnsi="Times New Roman" w:eastAsia="仿宋_GB2312"/>
      <w:sz w:val="18"/>
      <w:szCs w:val="18"/>
    </w:rPr>
  </w:style>
  <w:style w:type="character" w:customStyle="1" w:styleId="9">
    <w:name w:val="页脚 字符"/>
    <w:basedOn w:val="7"/>
    <w:link w:val="3"/>
    <w:qFormat/>
    <w:uiPriority w:val="99"/>
    <w:rPr>
      <w:rFonts w:ascii="Times New Roman" w:hAnsi="Times New Roman" w:eastAsia="仿宋_GB2312"/>
      <w:sz w:val="18"/>
      <w:szCs w:val="18"/>
    </w:rPr>
  </w:style>
  <w:style w:type="table" w:customStyle="1" w:styleId="10">
    <w:name w:val="灰度表格1221"/>
    <w:basedOn w:val="5"/>
    <w:uiPriority w:val="39"/>
    <w:pPr>
      <w:ind w:firstLine="200"/>
    </w:pPr>
    <w:rPr>
      <w:rFonts w:ascii="Times New Roman" w:hAnsi="Times New Roman" w:eastAsia="仿宋_GB2312"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字符"/>
    <w:basedOn w:val="7"/>
    <w:link w:val="2"/>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Company>
  <Pages>6</Pages>
  <Words>342</Words>
  <Characters>1955</Characters>
  <Lines>16</Lines>
  <Paragraphs>4</Paragraphs>
  <TotalTime>2</TotalTime>
  <ScaleCrop>false</ScaleCrop>
  <LinksUpToDate>false</LinksUpToDate>
  <CharactersWithSpaces>2293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2019-04-17T01:00:00Z</dcterms:created>
  <dc:creator>Su Anqi</dc:creator>
  <cp:lastModifiedBy>刘奇</cp:lastModifiedBy>
  <dcterms:modified xsi:type="dcterms:W3CDTF">2019-05-05T02:25:23Z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