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宋体" w:hAnsi="宋体" w:eastAsia="宋体" w:cs="宋体"/>
          <w:sz w:val="44"/>
          <w:szCs w:val="44"/>
          <w:highlight w:val="none"/>
        </w:rPr>
      </w:pPr>
      <w:bookmarkStart w:id="0" w:name="_Toc30533"/>
      <w:r>
        <w:rPr>
          <w:rFonts w:hint="eastAsia" w:ascii="宋体" w:hAnsi="宋体" w:eastAsia="宋体" w:cs="宋体"/>
          <w:sz w:val="44"/>
          <w:szCs w:val="44"/>
          <w:highlight w:val="none"/>
          <w:lang w:eastAsia="zh-CN"/>
        </w:rPr>
        <w:t>芜湖新兴</w:t>
      </w:r>
      <w:r>
        <w:rPr>
          <w:rFonts w:hint="eastAsia" w:ascii="宋体" w:hAnsi="宋体" w:eastAsia="宋体" w:cs="宋体"/>
          <w:sz w:val="44"/>
          <w:szCs w:val="44"/>
          <w:highlight w:val="none"/>
        </w:rPr>
        <w:t>201</w:t>
      </w:r>
      <w:r>
        <w:rPr>
          <w:rFonts w:hint="eastAsia" w:ascii="宋体" w:hAnsi="宋体" w:eastAsia="宋体" w:cs="宋体"/>
          <w:sz w:val="44"/>
          <w:szCs w:val="44"/>
          <w:highlight w:val="none"/>
          <w:lang w:val="en-US" w:eastAsia="zh-CN"/>
        </w:rPr>
        <w:t>8</w:t>
      </w:r>
      <w:r>
        <w:rPr>
          <w:rFonts w:hint="eastAsia" w:ascii="宋体" w:hAnsi="宋体" w:eastAsia="宋体" w:cs="宋体"/>
          <w:sz w:val="44"/>
          <w:szCs w:val="44"/>
          <w:highlight w:val="none"/>
        </w:rPr>
        <w:t>年</w:t>
      </w:r>
      <w:r>
        <w:rPr>
          <w:rFonts w:hint="eastAsia" w:ascii="宋体" w:hAnsi="宋体" w:cs="宋体"/>
          <w:sz w:val="44"/>
          <w:szCs w:val="44"/>
          <w:highlight w:val="none"/>
          <w:lang w:eastAsia="zh-CN"/>
        </w:rPr>
        <w:t>环境信息公开报告</w:t>
      </w:r>
      <w:bookmarkEnd w:id="0"/>
    </w:p>
    <w:p>
      <w:pPr>
        <w:jc w:val="center"/>
        <w:rPr>
          <w:rFonts w:hint="eastAsia" w:eastAsia="宋体"/>
          <w:sz w:val="28"/>
          <w:szCs w:val="28"/>
          <w:highlight w:val="none"/>
          <w:lang w:eastAsia="zh-CN"/>
        </w:rPr>
      </w:pPr>
      <w:r>
        <w:rPr>
          <w:rFonts w:hint="eastAsia"/>
          <w:sz w:val="28"/>
          <w:szCs w:val="28"/>
          <w:highlight w:val="none"/>
          <w:lang w:eastAsia="zh-CN"/>
        </w:rPr>
        <w:t>目</w:t>
      </w:r>
      <w:r>
        <w:rPr>
          <w:rFonts w:hint="eastAsia"/>
          <w:sz w:val="28"/>
          <w:szCs w:val="28"/>
          <w:highlight w:val="none"/>
          <w:lang w:val="en-US" w:eastAsia="zh-CN"/>
        </w:rPr>
        <w:t xml:space="preserve">   </w:t>
      </w:r>
      <w:r>
        <w:rPr>
          <w:rFonts w:hint="eastAsia"/>
          <w:sz w:val="28"/>
          <w:szCs w:val="28"/>
          <w:highlight w:val="none"/>
          <w:lang w:eastAsia="zh-CN"/>
        </w:rPr>
        <w:t>录</w:t>
      </w:r>
    </w:p>
    <w:p>
      <w:pPr>
        <w:pStyle w:val="11"/>
        <w:tabs>
          <w:tab w:val="right" w:leader="dot" w:pos="8634"/>
        </w:tabs>
        <w:rPr>
          <w:rFonts w:ascii="Times New Roman" w:hAnsi="Times New Roman" w:eastAsia="宋体" w:cs="Times New Roman"/>
          <w:lang w:val="en-US" w:eastAsia="zh-CN" w:bidi="ar-SA"/>
        </w:rPr>
      </w:pPr>
      <w:r>
        <w:rPr>
          <w:rFonts w:hint="eastAsia"/>
          <w:highlight w:val="none"/>
        </w:rPr>
        <w:fldChar w:fldCharType="begin"/>
      </w:r>
      <w:r>
        <w:rPr>
          <w:rFonts w:hint="eastAsia"/>
          <w:highlight w:val="none"/>
        </w:rPr>
        <w:instrText xml:space="preserve">TOC \o "1-3" \h  \u </w:instrText>
      </w:r>
      <w:r>
        <w:rPr>
          <w:rFonts w:hint="eastAsia"/>
          <w:highlight w:val="none"/>
        </w:rPr>
        <w:fldChar w:fldCharType="separate"/>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_Toc4480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一、企业概况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_Toc4480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_Toc20780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1、单位名称</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_Toc20780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_Toc24321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2、组织机构代码</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_Toc24321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_Toc10026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3、法定代表人</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_Toc10026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_Toc12585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4、生产经营场所地址</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_Toc12585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_Toc1387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5、生产内容及规模</w:t>
      </w:r>
      <w:bookmarkStart w:id="31" w:name="_GoBack"/>
      <w:bookmarkEnd w:id="31"/>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_Toc1387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_Toc9428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二、污染物排放情况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_Toc9428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3</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_Toc22841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三、污染防治设施建设情况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_Toc22841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7</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_Toc3739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1、原料场</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_Toc3739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7</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_Toc6003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2、石灰焙烧</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_Toc6003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7</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_Toc24544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3、烧结</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_Toc24544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7</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_Toc1006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4、焦化</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_Toc1006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8</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7"/>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_Toc27957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4.1备煤工段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_Toc27957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8</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7"/>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_Toc2234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4.2炼焦工段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_Toc2234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8</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7"/>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_Toc26894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4.3熄焦工段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_Toc26894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9</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7"/>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_Toc17561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4.4煤气净化工段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_Toc17561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9</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7"/>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_Toc15575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4.5筛焦工段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_Toc15575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10</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_Toc29230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lang w:val="en-US" w:eastAsia="zh-CN" w:bidi="ar-SA"/>
        </w:rPr>
        <w:t>5、炼铁</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_Toc29230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11</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_Toc31718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lang w:val="en-US" w:eastAsia="zh-CN" w:bidi="ar-SA"/>
        </w:rPr>
        <w:t>6、炼钢</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_Toc31718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12</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_Toc5554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lang w:val="en-US" w:eastAsia="zh-CN" w:bidi="ar-SA"/>
        </w:rPr>
        <w:t>7、轧钢</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_Toc5554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13</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_Toc18152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lang w:val="en-US" w:eastAsia="zh-CN" w:bidi="ar-SA"/>
        </w:rPr>
        <w:t>8、矿渣微粉生产线</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_Toc18152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13</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_Toc3367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lang w:val="en-US" w:eastAsia="zh-CN" w:bidi="ar-SA"/>
        </w:rPr>
        <w:t>9、发电站</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_Toc3367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13</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_Toc27570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三、建设项目环境影响评价情况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_Toc27570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13</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_Toc16236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四、突发环境事件应急预案</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_Toc16236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14</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_Toc11422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五、内部环境管理情况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_Toc11422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15</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_Toc18586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1、环境管理体制和制度</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_Toc18586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15</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_Toc13280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2、环境管理体系认证情况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_Toc13280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16</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4"/>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_Toc13964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3、环境保护规划</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_Toc13964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16</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pStyle w:val="11"/>
        <w:tabs>
          <w:tab w:val="right" w:leader="dot" w:pos="8634"/>
        </w:tabs>
        <w:rPr>
          <w:rFonts w:ascii="Times New Roman" w:hAnsi="Times New Roman" w:eastAsia="宋体" w:cs="Times New Roman"/>
          <w:lang w:val="en-US" w:eastAsia="zh-CN" w:bidi="ar-SA"/>
        </w:rPr>
      </w:pPr>
      <w:r>
        <w:rPr>
          <w:rFonts w:hint="eastAsia" w:ascii="Times New Roman" w:hAnsi="Times New Roman" w:eastAsia="宋体" w:cs="Times New Roman"/>
          <w:highlight w:val="none"/>
          <w:lang w:val="en-US" w:eastAsia="zh-CN" w:bidi="ar-SA"/>
        </w:rPr>
        <w:fldChar w:fldCharType="begin"/>
      </w:r>
      <w:r>
        <w:rPr>
          <w:rFonts w:hint="eastAsia" w:ascii="Times New Roman" w:hAnsi="Times New Roman" w:eastAsia="宋体" w:cs="Times New Roman"/>
          <w:highlight w:val="none"/>
          <w:lang w:val="en-US" w:eastAsia="zh-CN" w:bidi="ar-SA"/>
        </w:rPr>
        <w:instrText xml:space="preserve"> HYPERLINK \l _Toc6777 </w:instrText>
      </w:r>
      <w:r>
        <w:rPr>
          <w:rFonts w:hint="eastAsia" w:ascii="Times New Roman" w:hAnsi="Times New Roman" w:eastAsia="宋体" w:cs="Times New Roman"/>
          <w:highlight w:val="none"/>
          <w:lang w:val="en-US" w:eastAsia="zh-CN" w:bidi="ar-SA"/>
        </w:rPr>
        <w:fldChar w:fldCharType="separate"/>
      </w:r>
      <w:r>
        <w:rPr>
          <w:rFonts w:hint="eastAsia" w:ascii="Times New Roman" w:hAnsi="Times New Roman" w:eastAsia="宋体" w:cs="Times New Roman"/>
          <w:highlight w:val="none"/>
          <w:lang w:val="en-US" w:eastAsia="zh-CN" w:bidi="ar-SA"/>
        </w:rPr>
        <w:t>六、环境信息公开情况</w:t>
      </w:r>
      <w:r>
        <w:rPr>
          <w:rFonts w:ascii="Times New Roman" w:hAnsi="Times New Roman" w:eastAsia="宋体" w:cs="Times New Roman"/>
          <w:lang w:val="en-US" w:eastAsia="zh-CN" w:bidi="ar-SA"/>
        </w:rPr>
        <w:tab/>
      </w:r>
      <w:r>
        <w:rPr>
          <w:rFonts w:ascii="Times New Roman" w:hAnsi="Times New Roman" w:eastAsia="宋体" w:cs="Times New Roman"/>
          <w:lang w:val="en-US" w:eastAsia="zh-CN" w:bidi="ar-SA"/>
        </w:rPr>
        <w:fldChar w:fldCharType="begin"/>
      </w:r>
      <w:r>
        <w:rPr>
          <w:rFonts w:ascii="Times New Roman" w:hAnsi="Times New Roman" w:eastAsia="宋体" w:cs="Times New Roman"/>
          <w:lang w:val="en-US" w:eastAsia="zh-CN" w:bidi="ar-SA"/>
        </w:rPr>
        <w:instrText xml:space="preserve"> PAGEREF _Toc6777 </w:instrText>
      </w:r>
      <w:r>
        <w:rPr>
          <w:rFonts w:ascii="Times New Roman" w:hAnsi="Times New Roman" w:eastAsia="宋体" w:cs="Times New Roman"/>
          <w:lang w:val="en-US" w:eastAsia="zh-CN" w:bidi="ar-SA"/>
        </w:rPr>
        <w:fldChar w:fldCharType="separate"/>
      </w:r>
      <w:r>
        <w:rPr>
          <w:rFonts w:ascii="Times New Roman" w:hAnsi="Times New Roman" w:eastAsia="宋体" w:cs="Times New Roman"/>
          <w:lang w:val="en-US" w:eastAsia="zh-CN" w:bidi="ar-SA"/>
        </w:rPr>
        <w:t>16</w:t>
      </w:r>
      <w:r>
        <w:rPr>
          <w:rFonts w:ascii="Times New Roman" w:hAnsi="Times New Roman" w:eastAsia="宋体" w:cs="Times New Roman"/>
          <w:lang w:val="en-US" w:eastAsia="zh-CN" w:bidi="ar-SA"/>
        </w:rPr>
        <w:fldChar w:fldCharType="end"/>
      </w:r>
      <w:r>
        <w:rPr>
          <w:rFonts w:hint="eastAsia" w:ascii="Times New Roman" w:hAnsi="Times New Roman" w:eastAsia="宋体" w:cs="Times New Roman"/>
          <w:highlight w:val="none"/>
          <w:lang w:val="en-US" w:eastAsia="zh-CN" w:bidi="ar-SA"/>
        </w:rPr>
        <w:fldChar w:fldCharType="end"/>
      </w:r>
    </w:p>
    <w:p>
      <w:pPr>
        <w:wordWrap/>
        <w:adjustRightInd/>
        <w:snapToGrid/>
        <w:spacing w:before="0" w:after="0" w:line="264" w:lineRule="auto"/>
        <w:ind w:right="0" w:firstLine="0" w:firstLineChars="0"/>
        <w:textAlignment w:val="auto"/>
        <w:outlineLvl w:val="9"/>
        <w:rPr>
          <w:rFonts w:hint="eastAsia"/>
          <w:highlight w:val="none"/>
        </w:rPr>
      </w:pPr>
      <w:r>
        <w:rPr>
          <w:rFonts w:hint="eastAsia" w:ascii="Times New Roman" w:hAnsi="Times New Roman" w:eastAsia="宋体" w:cs="Times New Roman"/>
          <w:highlight w:val="none"/>
          <w:lang w:val="en-US" w:eastAsia="zh-CN" w:bidi="ar-SA"/>
        </w:rPr>
        <w:fldChar w:fldCharType="end"/>
      </w:r>
    </w:p>
    <w:p>
      <w:pPr>
        <w:pStyle w:val="2"/>
        <w:spacing w:line="360" w:lineRule="auto"/>
        <w:rPr>
          <w:rFonts w:hint="eastAsia"/>
          <w:highlight w:val="none"/>
        </w:rPr>
      </w:pPr>
      <w:bookmarkStart w:id="1" w:name="_Toc4480"/>
      <w:r>
        <w:rPr>
          <w:rFonts w:hint="eastAsia"/>
          <w:highlight w:val="none"/>
          <w:lang w:eastAsia="zh-CN"/>
        </w:rPr>
        <w:t>一、</w:t>
      </w:r>
      <w:r>
        <w:rPr>
          <w:rFonts w:hint="eastAsia"/>
          <w:highlight w:val="none"/>
        </w:rPr>
        <w:t>企业概况</w:t>
      </w:r>
      <w:bookmarkEnd w:id="1"/>
    </w:p>
    <w:p>
      <w:pPr>
        <w:pStyle w:val="3"/>
        <w:rPr>
          <w:rFonts w:hint="eastAsia"/>
          <w:highlight w:val="none"/>
        </w:rPr>
      </w:pPr>
      <w:bookmarkStart w:id="2" w:name="_Toc20780"/>
      <w:r>
        <w:rPr>
          <w:rFonts w:hint="eastAsia"/>
          <w:highlight w:val="none"/>
          <w:lang w:val="en-US" w:eastAsia="zh-CN"/>
        </w:rPr>
        <w:t>1、单位名称：</w:t>
      </w:r>
      <w:r>
        <w:rPr>
          <w:rFonts w:hint="eastAsia"/>
          <w:highlight w:val="none"/>
        </w:rPr>
        <w:t>芜湖新兴铸管有限责任公司</w:t>
      </w:r>
      <w:bookmarkEnd w:id="2"/>
    </w:p>
    <w:p>
      <w:pPr>
        <w:pStyle w:val="3"/>
        <w:rPr>
          <w:rFonts w:hint="eastAsia"/>
          <w:highlight w:val="none"/>
          <w:lang w:val="en-US" w:eastAsia="zh-CN"/>
        </w:rPr>
      </w:pPr>
      <w:bookmarkStart w:id="3" w:name="_Toc24321"/>
      <w:r>
        <w:rPr>
          <w:rFonts w:hint="eastAsia"/>
          <w:highlight w:val="none"/>
          <w:lang w:val="en-US" w:eastAsia="zh-CN"/>
        </w:rPr>
        <w:t>2、组织机构代码：</w:t>
      </w:r>
      <w:r>
        <w:rPr>
          <w:rFonts w:hint="eastAsia"/>
          <w:highlight w:val="none"/>
        </w:rPr>
        <w:t>91340208748920392N</w:t>
      </w:r>
      <w:bookmarkEnd w:id="3"/>
    </w:p>
    <w:p>
      <w:pPr>
        <w:pStyle w:val="3"/>
        <w:rPr>
          <w:rFonts w:hint="eastAsia"/>
          <w:highlight w:val="none"/>
          <w:lang w:val="en-US" w:eastAsia="zh-CN"/>
        </w:rPr>
      </w:pPr>
      <w:bookmarkStart w:id="4" w:name="_Toc10026"/>
      <w:r>
        <w:rPr>
          <w:rFonts w:hint="eastAsia"/>
          <w:highlight w:val="none"/>
          <w:lang w:val="en-US" w:eastAsia="zh-CN"/>
        </w:rPr>
        <w:t>3、法定代表人：刘涛</w:t>
      </w:r>
      <w:bookmarkEnd w:id="4"/>
    </w:p>
    <w:p>
      <w:pPr>
        <w:pStyle w:val="3"/>
        <w:rPr>
          <w:rFonts w:hint="eastAsia"/>
          <w:highlight w:val="none"/>
          <w:lang w:val="en-US" w:eastAsia="zh-CN"/>
        </w:rPr>
      </w:pPr>
      <w:bookmarkStart w:id="5" w:name="_Toc12585"/>
      <w:r>
        <w:rPr>
          <w:rFonts w:hint="eastAsia"/>
          <w:highlight w:val="none"/>
          <w:lang w:val="en-US" w:eastAsia="zh-CN"/>
        </w:rPr>
        <w:t>4、生产经营场所地址：</w:t>
      </w:r>
      <w:r>
        <w:rPr>
          <w:rFonts w:hint="eastAsia"/>
          <w:highlight w:val="none"/>
        </w:rPr>
        <w:t>芜湖市三山区经济开发区春洲路2号</w:t>
      </w:r>
      <w:bookmarkEnd w:id="5"/>
    </w:p>
    <w:p>
      <w:pPr>
        <w:pStyle w:val="3"/>
        <w:rPr>
          <w:rFonts w:hint="eastAsia"/>
          <w:highlight w:val="none"/>
          <w:lang w:val="en-US" w:eastAsia="zh-CN"/>
        </w:rPr>
      </w:pPr>
      <w:bookmarkStart w:id="6" w:name="_Toc1387"/>
      <w:r>
        <w:rPr>
          <w:rFonts w:hint="eastAsia"/>
          <w:highlight w:val="none"/>
          <w:lang w:val="en-US" w:eastAsia="zh-CN"/>
        </w:rPr>
        <w:t>5、生产内容及规模：</w:t>
      </w:r>
      <w:bookmarkEnd w:id="6"/>
    </w:p>
    <w:tbl>
      <w:tblPr>
        <w:tblW w:w="9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 w:type="dxa"/>
          <w:right w:w="15" w:type="dxa"/>
        </w:tblCellMar>
      </w:tblPr>
      <w:tblGrid>
        <w:gridCol w:w="1051"/>
        <w:gridCol w:w="1732"/>
        <w:gridCol w:w="3164"/>
        <w:gridCol w:w="3333"/>
      </w:tblGrid>
      <w:tr>
        <w:trPr>
          <w:trHeight w:val="940" w:hRule="atLeast"/>
        </w:trPr>
        <w:tc>
          <w:tcPr>
            <w:tcW w:w="1051" w:type="dxa"/>
            <w:tcBorders>
              <w:tl2br w:val="nil"/>
              <w:tr2bl w:val="nil"/>
            </w:tcBorders>
            <w:vAlign w:val="center"/>
          </w:tcPr>
          <w:p>
            <w:pPr>
              <w:autoSpaceDN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sz w:val="24"/>
                <w:szCs w:val="24"/>
                <w:highlight w:val="none"/>
                <w:u w:val="none"/>
              </w:rPr>
              <w:t>序号</w:t>
            </w:r>
          </w:p>
        </w:tc>
        <w:tc>
          <w:tcPr>
            <w:tcW w:w="1732" w:type="dxa"/>
            <w:tcBorders>
              <w:tl2br w:val="nil"/>
              <w:tr2bl w:val="nil"/>
            </w:tcBorders>
            <w:vAlign w:val="center"/>
          </w:tcPr>
          <w:p>
            <w:pPr>
              <w:autoSpaceDN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sz w:val="24"/>
                <w:szCs w:val="24"/>
                <w:highlight w:val="none"/>
                <w:u w:val="none"/>
              </w:rPr>
              <w:t>项目</w:t>
            </w:r>
          </w:p>
        </w:tc>
        <w:tc>
          <w:tcPr>
            <w:tcW w:w="3164" w:type="dxa"/>
            <w:tcBorders>
              <w:tl2br w:val="nil"/>
              <w:tr2bl w:val="nil"/>
            </w:tcBorders>
            <w:vAlign w:val="center"/>
          </w:tcPr>
          <w:p>
            <w:pPr>
              <w:autoSpaceDN w:val="0"/>
              <w:jc w:val="center"/>
              <w:textAlignment w:val="center"/>
              <w:rPr>
                <w:rFonts w:hint="eastAsia" w:ascii="宋体" w:hAnsi="宋体" w:eastAsia="宋体" w:cs="宋体"/>
                <w:b/>
                <w:bCs/>
                <w:i w:val="0"/>
                <w:color w:val="000000"/>
                <w:sz w:val="24"/>
                <w:szCs w:val="24"/>
                <w:highlight w:val="none"/>
                <w:u w:val="none"/>
                <w:lang w:eastAsia="zh-CN"/>
              </w:rPr>
            </w:pPr>
            <w:r>
              <w:rPr>
                <w:rFonts w:hint="eastAsia" w:ascii="宋体" w:hAnsi="宋体" w:eastAsia="宋体" w:cs="宋体"/>
                <w:b/>
                <w:bCs/>
                <w:i w:val="0"/>
                <w:color w:val="000000"/>
                <w:sz w:val="24"/>
                <w:szCs w:val="24"/>
                <w:highlight w:val="none"/>
                <w:u w:val="none"/>
                <w:lang w:eastAsia="zh-CN"/>
              </w:rPr>
              <w:t>生产设施</w:t>
            </w:r>
          </w:p>
        </w:tc>
        <w:tc>
          <w:tcPr>
            <w:tcW w:w="3333" w:type="dxa"/>
            <w:tcBorders>
              <w:tl2br w:val="nil"/>
              <w:tr2bl w:val="nil"/>
            </w:tcBorders>
            <w:vAlign w:val="center"/>
          </w:tcPr>
          <w:p>
            <w:pPr>
              <w:autoSpaceDN w:val="0"/>
              <w:jc w:val="center"/>
              <w:textAlignment w:val="center"/>
              <w:rPr>
                <w:rFonts w:hint="eastAsia" w:ascii="宋体" w:hAnsi="宋体" w:eastAsia="宋体" w:cs="宋体"/>
                <w:b/>
                <w:bCs/>
                <w:i w:val="0"/>
                <w:color w:val="000000"/>
                <w:sz w:val="24"/>
                <w:szCs w:val="24"/>
                <w:highlight w:val="none"/>
                <w:u w:val="none"/>
                <w:lang w:eastAsia="zh-CN"/>
              </w:rPr>
            </w:pPr>
            <w:r>
              <w:rPr>
                <w:rFonts w:hint="eastAsia" w:ascii="宋体" w:hAnsi="宋体" w:eastAsia="宋体" w:cs="宋体"/>
                <w:b/>
                <w:bCs/>
                <w:i w:val="0"/>
                <w:color w:val="000000"/>
                <w:sz w:val="24"/>
                <w:szCs w:val="24"/>
                <w:highlight w:val="none"/>
                <w:u w:val="none"/>
                <w:lang w:eastAsia="zh-CN"/>
              </w:rPr>
              <w:t>生产规模(万t/a)</w:t>
            </w:r>
          </w:p>
        </w:tc>
      </w:tr>
      <w:tr>
        <w:trPr>
          <w:trHeight w:val="1016" w:hRule="atLeast"/>
        </w:trPr>
        <w:tc>
          <w:tcPr>
            <w:tcW w:w="1051"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w:t>
            </w:r>
          </w:p>
        </w:tc>
        <w:tc>
          <w:tcPr>
            <w:tcW w:w="1732"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焦化车间</w:t>
            </w: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2×58孔6m焦炉</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120</w:t>
            </w:r>
          </w:p>
        </w:tc>
      </w:tr>
      <w:tr>
        <w:trPr>
          <w:trHeight w:val="387" w:hRule="atLeast"/>
        </w:trPr>
        <w:tc>
          <w:tcPr>
            <w:tcW w:w="1051"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w:t>
            </w:r>
          </w:p>
        </w:tc>
        <w:tc>
          <w:tcPr>
            <w:tcW w:w="1732"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烧结车间</w:t>
            </w: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2×265m2烧结机</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628</w:t>
            </w:r>
          </w:p>
        </w:tc>
      </w:tr>
      <w:tr>
        <w:trPr>
          <w:trHeight w:val="387" w:hRule="atLeast"/>
        </w:trPr>
        <w:tc>
          <w:tcPr>
            <w:tcW w:w="1051"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3</w:t>
            </w:r>
          </w:p>
        </w:tc>
        <w:tc>
          <w:tcPr>
            <w:tcW w:w="1732"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炼铁车间</w:t>
            </w: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2×1280m3高炉</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198</w:t>
            </w:r>
          </w:p>
        </w:tc>
      </w:tr>
      <w:tr>
        <w:trPr>
          <w:trHeight w:val="846" w:hRule="atLeast"/>
        </w:trPr>
        <w:tc>
          <w:tcPr>
            <w:tcW w:w="1051" w:type="dxa"/>
            <w:tcBorders>
              <w:bottom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4</w:t>
            </w:r>
          </w:p>
        </w:tc>
        <w:tc>
          <w:tcPr>
            <w:tcW w:w="1732" w:type="dxa"/>
            <w:tcBorders>
              <w:bottom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球墨铸铁车间</w:t>
            </w:r>
          </w:p>
        </w:tc>
        <w:tc>
          <w:tcPr>
            <w:tcW w:w="3164" w:type="dxa"/>
            <w:tcBorders>
              <w:bottom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1×300t混铁炉、8×15t工频电炉、7台水冷离心机、2台热模法离心机</w:t>
            </w:r>
          </w:p>
        </w:tc>
        <w:tc>
          <w:tcPr>
            <w:tcW w:w="3333" w:type="dxa"/>
            <w:tcBorders>
              <w:bottom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80</w:t>
            </w:r>
          </w:p>
        </w:tc>
      </w:tr>
      <w:tr>
        <w:trPr>
          <w:trHeight w:val="1365" w:hRule="atLeast"/>
        </w:trPr>
        <w:tc>
          <w:tcPr>
            <w:tcW w:w="1051" w:type="dxa"/>
            <w:tcBorders>
              <w:top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5</w:t>
            </w:r>
          </w:p>
        </w:tc>
        <w:tc>
          <w:tcPr>
            <w:tcW w:w="1732" w:type="dxa"/>
            <w:tcBorders>
              <w:top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炼钢车间</w:t>
            </w:r>
          </w:p>
        </w:tc>
        <w:tc>
          <w:tcPr>
            <w:tcW w:w="3164" w:type="dxa"/>
            <w:tcBorders>
              <w:top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2×120t转炉、1×120tLF炉、1×120tRH真空精炼装置、2×10机10流方坯连铸机、1×4机4流圆坯连铸机、1×6机6流特殊钢圆坯连铸机</w:t>
            </w:r>
          </w:p>
        </w:tc>
        <w:tc>
          <w:tcPr>
            <w:tcW w:w="3333" w:type="dxa"/>
            <w:tcBorders>
              <w:top w:val="single" w:color="000000" w:sz="4" w:space="0"/>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150</w:t>
            </w:r>
          </w:p>
        </w:tc>
      </w:tr>
      <w:tr>
        <w:trPr>
          <w:trHeight w:val="387" w:hRule="atLeast"/>
        </w:trPr>
        <w:tc>
          <w:tcPr>
            <w:tcW w:w="1051" w:type="dxa"/>
            <w:vMerge w:val="restart"/>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6</w:t>
            </w:r>
          </w:p>
        </w:tc>
        <w:tc>
          <w:tcPr>
            <w:tcW w:w="1732" w:type="dxa"/>
            <w:vMerge w:val="restart"/>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轧钢车间</w:t>
            </w: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1条小棒材生产线</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30</w:t>
            </w:r>
          </w:p>
        </w:tc>
      </w:tr>
      <w:tr>
        <w:trPr>
          <w:trHeight w:val="387" w:hRule="atLeast"/>
        </w:trPr>
        <w:tc>
          <w:tcPr>
            <w:tcW w:w="1051" w:type="dxa"/>
            <w:vMerge w:val="continue"/>
            <w:tcBorders>
              <w:tl2br w:val="nil"/>
              <w:tr2bl w:val="nil"/>
            </w:tcBorders>
            <w:vAlign w:val="center"/>
          </w:tcPr>
          <w:p>
            <w:pPr>
              <w:rPr>
                <w:rFonts w:hint="eastAsia" w:ascii="宋体" w:hAnsi="宋体" w:eastAsia="宋体" w:cs="宋体"/>
                <w:sz w:val="24"/>
                <w:szCs w:val="24"/>
                <w:highlight w:val="none"/>
              </w:rPr>
            </w:pPr>
          </w:p>
        </w:tc>
        <w:tc>
          <w:tcPr>
            <w:tcW w:w="1732" w:type="dxa"/>
            <w:vMerge w:val="continue"/>
            <w:tcBorders>
              <w:tl2br w:val="nil"/>
              <w:tr2bl w:val="nil"/>
            </w:tcBorders>
            <w:vAlign w:val="center"/>
          </w:tcPr>
          <w:p>
            <w:pPr>
              <w:autoSpaceDN w:val="0"/>
              <w:textAlignment w:val="auto"/>
              <w:rPr>
                <w:rFonts w:hint="eastAsia" w:ascii="宋体" w:hAnsi="宋体" w:eastAsia="宋体" w:cs="宋体"/>
                <w:sz w:val="24"/>
                <w:szCs w:val="24"/>
                <w:highlight w:val="none"/>
              </w:rPr>
            </w:pP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1条大棒材生产线</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30</w:t>
            </w:r>
          </w:p>
        </w:tc>
      </w:tr>
      <w:tr>
        <w:trPr>
          <w:trHeight w:val="387" w:hRule="atLeast"/>
        </w:trPr>
        <w:tc>
          <w:tcPr>
            <w:tcW w:w="1051" w:type="dxa"/>
            <w:vMerge w:val="continue"/>
            <w:tcBorders>
              <w:tl2br w:val="nil"/>
              <w:tr2bl w:val="nil"/>
            </w:tcBorders>
            <w:vAlign w:val="center"/>
          </w:tcPr>
          <w:p>
            <w:pPr>
              <w:rPr>
                <w:rFonts w:hint="eastAsia" w:ascii="宋体" w:hAnsi="宋体" w:eastAsia="宋体" w:cs="宋体"/>
                <w:sz w:val="24"/>
                <w:szCs w:val="24"/>
                <w:highlight w:val="none"/>
              </w:rPr>
            </w:pPr>
          </w:p>
        </w:tc>
        <w:tc>
          <w:tcPr>
            <w:tcW w:w="1732" w:type="dxa"/>
            <w:vMerge w:val="continue"/>
            <w:tcBorders>
              <w:tl2br w:val="nil"/>
              <w:tr2bl w:val="nil"/>
            </w:tcBorders>
            <w:vAlign w:val="center"/>
          </w:tcPr>
          <w:p>
            <w:pPr>
              <w:autoSpaceDN w:val="0"/>
              <w:textAlignment w:val="auto"/>
              <w:rPr>
                <w:rFonts w:hint="eastAsia" w:ascii="宋体" w:hAnsi="宋体" w:eastAsia="宋体" w:cs="宋体"/>
                <w:sz w:val="24"/>
                <w:szCs w:val="24"/>
                <w:highlight w:val="none"/>
              </w:rPr>
            </w:pP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w:t>
            </w:r>
            <w:r>
              <w:rPr>
                <w:rFonts w:hint="eastAsia" w:ascii="宋体" w:hAnsi="宋体" w:eastAsia="宋体" w:cs="宋体"/>
                <w:b w:val="0"/>
                <w:i w:val="0"/>
                <w:color w:val="000000"/>
                <w:sz w:val="24"/>
                <w:szCs w:val="24"/>
                <w:highlight w:val="none"/>
                <w:u w:val="none"/>
                <w:lang w:eastAsia="zh-CN"/>
              </w:rPr>
              <w:t>条</w:t>
            </w:r>
            <w:r>
              <w:rPr>
                <w:rFonts w:hint="eastAsia" w:ascii="宋体" w:hAnsi="宋体" w:eastAsia="宋体" w:cs="宋体"/>
                <w:b w:val="0"/>
                <w:i w:val="0"/>
                <w:color w:val="000000"/>
                <w:sz w:val="24"/>
                <w:szCs w:val="24"/>
                <w:highlight w:val="none"/>
                <w:u w:val="none"/>
              </w:rPr>
              <w:t>中棒材生产线</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30</w:t>
            </w:r>
          </w:p>
        </w:tc>
      </w:tr>
      <w:tr>
        <w:trPr>
          <w:trHeight w:val="387" w:hRule="atLeast"/>
        </w:trPr>
        <w:tc>
          <w:tcPr>
            <w:tcW w:w="1051" w:type="dxa"/>
            <w:vMerge w:val="continue"/>
            <w:tcBorders>
              <w:tl2br w:val="nil"/>
              <w:tr2bl w:val="nil"/>
            </w:tcBorders>
            <w:vAlign w:val="center"/>
          </w:tcPr>
          <w:p>
            <w:pPr>
              <w:rPr>
                <w:rFonts w:hint="eastAsia" w:ascii="宋体" w:hAnsi="宋体" w:eastAsia="宋体" w:cs="宋体"/>
                <w:sz w:val="24"/>
                <w:szCs w:val="24"/>
                <w:highlight w:val="none"/>
              </w:rPr>
            </w:pPr>
          </w:p>
        </w:tc>
        <w:tc>
          <w:tcPr>
            <w:tcW w:w="1732" w:type="dxa"/>
            <w:vMerge w:val="continue"/>
            <w:tcBorders>
              <w:tl2br w:val="nil"/>
              <w:tr2bl w:val="nil"/>
            </w:tcBorders>
            <w:vAlign w:val="center"/>
          </w:tcPr>
          <w:p>
            <w:pPr>
              <w:autoSpaceDN w:val="0"/>
              <w:textAlignment w:val="auto"/>
              <w:rPr>
                <w:rFonts w:hint="eastAsia" w:ascii="宋体" w:hAnsi="宋体" w:eastAsia="宋体" w:cs="宋体"/>
                <w:sz w:val="24"/>
                <w:szCs w:val="24"/>
                <w:highlight w:val="none"/>
              </w:rPr>
            </w:pP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1条精品线材生产线</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40</w:t>
            </w:r>
          </w:p>
        </w:tc>
      </w:tr>
      <w:tr>
        <w:trPr>
          <w:trHeight w:val="387" w:hRule="atLeast"/>
        </w:trPr>
        <w:tc>
          <w:tcPr>
            <w:tcW w:w="1051" w:type="dxa"/>
            <w:vMerge w:val="continue"/>
            <w:tcBorders>
              <w:tl2br w:val="nil"/>
              <w:tr2bl w:val="nil"/>
            </w:tcBorders>
            <w:vAlign w:val="center"/>
          </w:tcPr>
          <w:p>
            <w:pPr>
              <w:rPr>
                <w:rFonts w:hint="eastAsia" w:ascii="宋体" w:hAnsi="宋体" w:eastAsia="宋体" w:cs="宋体"/>
                <w:sz w:val="24"/>
                <w:szCs w:val="24"/>
                <w:highlight w:val="none"/>
              </w:rPr>
            </w:pPr>
          </w:p>
        </w:tc>
        <w:tc>
          <w:tcPr>
            <w:tcW w:w="1732" w:type="dxa"/>
            <w:vMerge w:val="continue"/>
            <w:tcBorders>
              <w:tl2br w:val="nil"/>
              <w:tr2bl w:val="nil"/>
            </w:tcBorders>
            <w:vAlign w:val="center"/>
          </w:tcPr>
          <w:p>
            <w:pPr>
              <w:autoSpaceDN w:val="0"/>
              <w:textAlignment w:val="auto"/>
              <w:rPr>
                <w:rFonts w:hint="eastAsia" w:ascii="宋体" w:hAnsi="宋体" w:eastAsia="宋体" w:cs="宋体"/>
                <w:sz w:val="24"/>
                <w:szCs w:val="24"/>
                <w:highlight w:val="none"/>
              </w:rPr>
            </w:pP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1条普通线材生产线</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40</w:t>
            </w:r>
          </w:p>
        </w:tc>
      </w:tr>
      <w:tr>
        <w:trPr>
          <w:trHeight w:val="413" w:hRule="atLeast"/>
        </w:trPr>
        <w:tc>
          <w:tcPr>
            <w:tcW w:w="1051"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7</w:t>
            </w:r>
          </w:p>
        </w:tc>
        <w:tc>
          <w:tcPr>
            <w:tcW w:w="1732"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石灰窑</w:t>
            </w:r>
          </w:p>
        </w:tc>
        <w:tc>
          <w:tcPr>
            <w:tcW w:w="3164"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2×400t/d石灰回转窑</w:t>
            </w:r>
          </w:p>
        </w:tc>
        <w:tc>
          <w:tcPr>
            <w:tcW w:w="3333" w:type="dxa"/>
            <w:tcBorders>
              <w:tl2br w:val="nil"/>
              <w:tr2bl w:val="nil"/>
            </w:tcBorders>
            <w:vAlign w:val="center"/>
          </w:tcPr>
          <w:p>
            <w:pPr>
              <w:autoSpaceDN w:val="0"/>
              <w:jc w:val="center"/>
              <w:textAlignment w:val="center"/>
              <w:rPr>
                <w:rFonts w:hint="eastAsia" w:ascii="宋体" w:hAnsi="宋体" w:eastAsia="宋体" w:cs="宋体"/>
                <w:b w:val="0"/>
                <w:i w:val="0"/>
                <w:color w:val="000000"/>
                <w:sz w:val="24"/>
                <w:szCs w:val="24"/>
                <w:highlight w:val="none"/>
                <w:u w:val="none"/>
              </w:rPr>
            </w:pPr>
            <w:r>
              <w:rPr>
                <w:rFonts w:hint="eastAsia" w:ascii="宋体" w:hAnsi="宋体" w:eastAsia="宋体" w:cs="宋体"/>
                <w:b w:val="0"/>
                <w:i w:val="0"/>
                <w:color w:val="000000"/>
                <w:sz w:val="24"/>
                <w:szCs w:val="24"/>
                <w:highlight w:val="none"/>
                <w:u w:val="none"/>
              </w:rPr>
              <w:t>27.6</w:t>
            </w:r>
          </w:p>
        </w:tc>
      </w:tr>
    </w:tbl>
    <w:p>
      <w:pPr>
        <w:numPr>
          <w:numId w:val="0"/>
        </w:numPr>
        <w:spacing w:line="360" w:lineRule="auto"/>
        <w:rPr>
          <w:rFonts w:hint="eastAsia" w:ascii="宋体" w:hAnsi="宋体" w:eastAsia="宋体" w:cs="宋体"/>
          <w:b/>
          <w:bCs/>
          <w:sz w:val="28"/>
          <w:szCs w:val="28"/>
          <w:highlight w:val="none"/>
          <w:lang w:eastAsia="zh-CN"/>
        </w:rPr>
      </w:pPr>
    </w:p>
    <w:p>
      <w:pPr>
        <w:numPr>
          <w:numId w:val="0"/>
        </w:numPr>
        <w:spacing w:line="360" w:lineRule="auto"/>
        <w:sectPr>
          <w:headerReference r:id="rId4" w:type="default"/>
          <w:footerReference r:id="rId5" w:type="default"/>
          <w:pgSz w:w="12240" w:h="15840"/>
          <w:pgMar w:top="1440" w:right="1803" w:bottom="1440" w:left="1803" w:header="720" w:footer="720" w:gutter="0"/>
          <w:paperSrc w:first="0" w:other="0"/>
          <w:pgBorders>
            <w:top w:val="none" w:color="auto" w:sz="0" w:space="0"/>
            <w:left w:val="none" w:color="auto" w:sz="0" w:space="0"/>
            <w:bottom w:val="none" w:color="auto" w:sz="0" w:space="0"/>
            <w:right w:val="none" w:color="auto" w:sz="0" w:space="0"/>
          </w:pgBorders>
          <w:pgNumType w:fmt="decimal" w:start="1"/>
          <w:cols w:space="720" w:num="1"/>
        </w:sectPr>
      </w:pPr>
    </w:p>
    <w:p>
      <w:pPr>
        <w:pStyle w:val="2"/>
        <w:rPr>
          <w:rFonts w:hint="eastAsia"/>
          <w:highlight w:val="none"/>
        </w:rPr>
      </w:pPr>
      <w:bookmarkStart w:id="7" w:name="_Toc9428"/>
      <w:r>
        <w:rPr>
          <w:rFonts w:hint="eastAsia"/>
          <w:highlight w:val="none"/>
          <w:lang w:eastAsia="zh-CN"/>
        </w:rPr>
        <w:t>二、污染物排放情况</w:t>
      </w:r>
      <w:bookmarkEnd w:id="7"/>
    </w:p>
    <w:tbl>
      <w:tblPr>
        <w:tblW w:w="11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80"/>
        <w:gridCol w:w="2640"/>
        <w:gridCol w:w="1080"/>
        <w:gridCol w:w="2055"/>
        <w:gridCol w:w="1245"/>
        <w:gridCol w:w="1845"/>
        <w:gridCol w:w="1710"/>
      </w:tblGrid>
      <w:tr>
        <w:trPr>
          <w:trHeight w:val="285" w:hRule="atLeast"/>
        </w:trPr>
        <w:tc>
          <w:tcPr>
            <w:tcW w:w="1380" w:type="dxa"/>
            <w:tcBorders>
              <w:top w:val="single" w:color="000000" w:sz="4" w:space="0"/>
              <w:left w:val="single" w:color="000000" w:sz="4" w:space="0"/>
              <w:bottom w:val="single" w:color="000000" w:sz="4" w:space="0"/>
              <w:right w:val="single" w:color="000000" w:sz="4" w:space="0"/>
            </w:tcBorders>
            <w:shd w:val="clear" w:color="CCFFCC" w:fill="auto"/>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排放口编号</w:t>
            </w:r>
          </w:p>
        </w:tc>
        <w:tc>
          <w:tcPr>
            <w:tcW w:w="2640" w:type="dxa"/>
            <w:tcBorders>
              <w:top w:val="single" w:color="000000" w:sz="4" w:space="0"/>
              <w:left w:val="single" w:color="000000" w:sz="4" w:space="0"/>
              <w:bottom w:val="single" w:color="000000" w:sz="4" w:space="0"/>
              <w:right w:val="single" w:color="000000" w:sz="4" w:space="0"/>
            </w:tcBorders>
            <w:shd w:val="clear" w:color="CCFFCC" w:fill="auto"/>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排放口名称</w:t>
            </w:r>
          </w:p>
        </w:tc>
        <w:tc>
          <w:tcPr>
            <w:tcW w:w="1080" w:type="dxa"/>
            <w:tcBorders>
              <w:top w:val="single" w:color="000000" w:sz="4" w:space="0"/>
              <w:left w:val="single" w:color="000000" w:sz="4" w:space="0"/>
              <w:bottom w:val="single" w:color="000000" w:sz="4" w:space="0"/>
            </w:tcBorders>
            <w:shd w:val="clear" w:color="CCFFCC" w:fill="auto"/>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污染物种类</w:t>
            </w:r>
          </w:p>
        </w:tc>
        <w:tc>
          <w:tcPr>
            <w:tcW w:w="205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执行标准</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核定排放量</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2018年实际排放量</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备注</w:t>
            </w: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DA001</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发电烟囱</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烟尘</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火电厂大气污染物排放标准GB 13223-2011</w:t>
            </w: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7.646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6.32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76.46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50.16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109.22</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76.63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林格曼黑度</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DA002</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过热炉烟囱</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烟尘</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火电厂大气污染物排放标准GB 13223-2011</w:t>
            </w: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2.876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0.10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28.76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1.11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41.09</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3.82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林格曼黑度</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DA003</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预粉碎</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炼焦化学工业污染物排放标准GB 16171-2012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23.4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DA004</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粉碎</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23.4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DA005</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焦炉烟囱</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47.6363</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24.57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79.3938</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45.99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793.938</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525.38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DA006</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装煤</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5.96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18.47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苯并芘</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DA007</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推焦</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39.6</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19.60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39.6</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31.68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DA009</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干熄焦</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19.48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90</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56.67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DA010</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筛焦楼</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23.4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25.08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DA011</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脱硫再生塔</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氨气</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硫化氢</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DA012</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硫胺结晶干燥</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5.8254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氨气</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DA013/DA014</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粗苯管式炉</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0.4682 </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粗苯管式炉一开一备，所以按照一个排放口填报排放量</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0.7803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1.9527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DA015</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料场7#转运站除尘器</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炼铁工业大气污染物排放标准GB28663-2012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1.1468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DA016</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料场8#转运站除尘器</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0.6625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DA017</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烧结配料除尘排口</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钢铁烧结、球团工业大气污染物排放标准GB 28662-2012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224.175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15.7314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DA018</w:t>
            </w:r>
          </w:p>
        </w:tc>
        <w:tc>
          <w:tcPr>
            <w:tcW w:w="264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烧结燃料破碎除尘排口</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224.175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12.8156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DA019</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1#烧结机头脱硫排口</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302.1025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133.00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1208.41</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252.33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1812.615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1530.32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氟化物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二噁英类</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DA020</w:t>
            </w:r>
          </w:p>
        </w:tc>
        <w:tc>
          <w:tcPr>
            <w:tcW w:w="264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1#烧结机尾除尘排口</w:t>
            </w: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83.265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23.84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DA021</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2#烧结机头脱硫排口</w:t>
            </w: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302.1025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157.64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1208.41</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322.46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1812.615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1650.87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氟化物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二噁英类</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DA022</w:t>
            </w:r>
          </w:p>
        </w:tc>
        <w:tc>
          <w:tcPr>
            <w:tcW w:w="264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2#烧结机尾除尘排口</w:t>
            </w:r>
          </w:p>
        </w:tc>
        <w:tc>
          <w:tcPr>
            <w:tcW w:w="1080" w:type="dxa"/>
            <w:tcBorders>
              <w:top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83.265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13.39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DA023</w:t>
            </w:r>
          </w:p>
        </w:tc>
        <w:tc>
          <w:tcPr>
            <w:tcW w:w="264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烧结块矿烘干除尘器</w:t>
            </w:r>
          </w:p>
        </w:tc>
        <w:tc>
          <w:tcPr>
            <w:tcW w:w="1080" w:type="dxa"/>
            <w:tcBorders>
              <w:top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224.175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5.2389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DA024</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炼铁1#转运站除尘排口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炼铁工业大气污染物排放标准GB28663-2012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5.1521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DA025</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炼铁3#转运站除尘排口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6.7265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DA026</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炼铁4#转运站除尘排口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2.1244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DA027</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1#高炉矿槽除尘排口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70.28125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14.11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钢铁行业2018年6月取得排污许可证</w:t>
            </w: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DA028</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1#高炉煤粉制备除尘排口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1.8628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DA029</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1#高炉热风炉烟囱排口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8.5244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112.45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101.8481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337.35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141.8712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DA030</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1#高炉出铁场除尘排口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62.7125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17.44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2018年6月取得排污许可证</w:t>
            </w: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DA031</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1#高炉炉顶上料除尘</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0.5141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DA032</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矿渣微粉除尘器排口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15.9356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DA033</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铸铁机除尘排口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1.1494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DA034</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2#高炉矿槽除尘排口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70.28125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14.11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2018年6月取得排污许可证</w:t>
            </w: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DA035</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2#高炉煤粉制备除尘器排口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1.4836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DA036</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1#高炉热风炉烟囱排口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28.8153125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6.9646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91.365625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72.5395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274.096875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54.7674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DA037</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2#高炉出铁场除尘排口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62.7125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17.44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2018年6月取得排污许可证</w:t>
            </w: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DA038</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2#高炉炉顶上料除尘</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35.465</w:t>
            </w:r>
          </w:p>
        </w:tc>
        <w:tc>
          <w:tcPr>
            <w:tcW w:w="1845" w:type="dxa"/>
            <w:tcBorders>
              <w:top w:val="single" w:color="000000" w:sz="4" w:space="0"/>
              <w:left w:val="single" w:color="000000" w:sz="4" w:space="0"/>
            </w:tcBorders>
            <w:textDirection w:val="lrTb"/>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3.6375 </w:t>
            </w:r>
          </w:p>
        </w:tc>
        <w:tc>
          <w:tcPr>
            <w:tcW w:w="1710" w:type="dxa"/>
            <w:tcBorders>
              <w:top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DA039</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铁水预处理除尘排口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炼钢工业大气污染物排放标准GB 28664-2012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147.15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40.6516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DA040</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1#转炉一次烟气除尘排口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147.15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3.1449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DA041</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转炉二次烟气除尘排口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41.85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23.44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2018年6月取得排污许可证</w:t>
            </w: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DA042</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转炉三次烟气排口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147.15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64.9603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DA043</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2#转炉一次烟气除尘排口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147.15</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1.6906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DA044</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石灰窑尾除尘排口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10.3083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DA045</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白灰上料除尘排口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1.0634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DA046</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白灰成品冷却除尘排口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0.7539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480"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DA047</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白灰成品冷却、卸料和破碎除尘排口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0.3085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DA048</w:t>
            </w:r>
          </w:p>
        </w:tc>
        <w:tc>
          <w:tcPr>
            <w:tcW w:w="26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白灰成品卸料除尘排口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40.8</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1.3784 </w:t>
            </w:r>
          </w:p>
        </w:tc>
        <w:tc>
          <w:tcPr>
            <w:tcW w:w="17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0"/>
                <w:highlight w:val="none"/>
                <w:u w:val="none"/>
                <w:lang w:eastAsia="zh-CN"/>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DA049</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小棒加热炉空废排口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轧钢工业大气污染物排放标准GB 28665-2012</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7.2</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3.0555 </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轧钢生产工艺原因，空废、煤废排口轮流排放废气</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25.92</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23.2991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51.84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39.2491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DA050</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小棒加热炉煤废排口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7.2</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25.92</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51.84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DA051</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中棒加热炉空废排口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0.8827 </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轧钢生产工艺原因，空废、煤废排口轮流排放废气</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27</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10.9653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13.4892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DA052</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中棒加热炉煤废排口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27</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DA053</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大棒加热炉空废排口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轧钢生产工艺原因，空废、煤废排口轮流排放废气</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27</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DA054</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大棒加热炉煤废排口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7.5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27</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54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0</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DA055</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普通线材加热炉空废排口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9.65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3.8142 </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轧钢生产工艺原因，空废、煤废排口轮流排放废气</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34.74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17.2810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69.48</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25.6054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DA056</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普通线材加热炉煤废排口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9.65</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34.74</w:t>
            </w:r>
          </w:p>
        </w:tc>
        <w:tc>
          <w:tcPr>
            <w:tcW w:w="1845"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69.48</w:t>
            </w:r>
          </w:p>
        </w:tc>
        <w:tc>
          <w:tcPr>
            <w:tcW w:w="1845" w:type="dxa"/>
            <w:tcBorders>
              <w:top w:val="single" w:color="000000" w:sz="4" w:space="0"/>
              <w:lef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DA057</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精品线材加热炉空废排口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8.65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4.5541 </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轧钢生产工艺原因，空废、煤废排口轮流排放废气</w:t>
            </w: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31.14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23.3442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62.28</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 xml:space="preserve">28.4899 </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DA058</w:t>
            </w:r>
          </w:p>
        </w:tc>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精品线材加热炉煤废排口</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颗粒物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8.65</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二氧化硫</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31.14</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r>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氮氧化物</w:t>
            </w:r>
          </w:p>
        </w:tc>
        <w:tc>
          <w:tcPr>
            <w:tcW w:w="2055" w:type="dxa"/>
            <w:vMerge w:val="continue"/>
            <w:tcBorders>
              <w:top w:val="single" w:color="000000" w:sz="4" w:space="0"/>
              <w:left w:val="single" w:color="000000" w:sz="4" w:space="0"/>
              <w:bottom w:val="single" w:color="000000" w:sz="4" w:space="0"/>
            </w:tcBorders>
            <w:vAlign w:val="center"/>
          </w:tcPr>
          <w:p>
            <w:pPr>
              <w:rPr>
                <w:rFonts w:hint="eastAsia" w:ascii="宋体" w:hAnsi="宋体" w:eastAsia="宋体" w:cs="宋体"/>
                <w:sz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62.28</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0"/>
                <w:highlight w:val="none"/>
                <w:u w:val="none"/>
                <w:lang w:eastAsia="zh-CN"/>
              </w:rPr>
            </w:pPr>
            <w:r>
              <w:rPr>
                <w:rFonts w:hint="eastAsia" w:ascii="宋体" w:hAnsi="宋体" w:eastAsia="宋体" w:cs="宋体"/>
                <w:b w:val="0"/>
                <w:i w:val="0"/>
                <w:color w:val="000000"/>
                <w:sz w:val="20"/>
                <w:highlight w:val="none"/>
                <w:u w:val="none"/>
                <w:lang w:eastAsia="zh-CN"/>
              </w:rPr>
              <w:t>/</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4"/>
                <w:highlight w:val="none"/>
              </w:rPr>
            </w:pPr>
          </w:p>
        </w:tc>
      </w:tr>
    </w:tbl>
    <w:p>
      <w:pPr>
        <w:numPr>
          <w:ilvl w:val="0"/>
          <w:numId w:val="1"/>
        </w:numPr>
        <w:spacing w:line="360" w:lineRule="auto"/>
        <w:sectPr>
          <w:pgSz w:w="15840" w:h="12240" w:orient="landscape"/>
          <w:pgMar w:top="1803" w:right="1440" w:bottom="1803" w:left="1440" w:header="720" w:footer="720" w:gutter="0"/>
          <w:paperSrc w:first="0" w:other="0"/>
          <w:pgBorders>
            <w:top w:val="none" w:color="auto" w:sz="0" w:space="0"/>
            <w:left w:val="none" w:color="auto" w:sz="0" w:space="0"/>
            <w:bottom w:val="none" w:color="auto" w:sz="0" w:space="0"/>
            <w:right w:val="none" w:color="auto" w:sz="0" w:space="0"/>
          </w:pgBorders>
          <w:pgNumType w:fmt="decimal"/>
          <w:cols w:space="720" w:num="1"/>
        </w:sectPr>
      </w:pPr>
    </w:p>
    <w:p>
      <w:pPr>
        <w:pStyle w:val="2"/>
        <w:rPr>
          <w:rFonts w:hint="eastAsia"/>
          <w:highlight w:val="none"/>
          <w:lang w:eastAsia="zh-CN"/>
        </w:rPr>
      </w:pPr>
      <w:bookmarkStart w:id="8" w:name="_Toc22841"/>
      <w:r>
        <w:rPr>
          <w:rFonts w:hint="eastAsia"/>
          <w:highlight w:val="none"/>
          <w:lang w:eastAsia="zh-CN"/>
        </w:rPr>
        <w:t>三、污染防治设施建设情况</w:t>
      </w:r>
      <w:bookmarkEnd w:id="8"/>
    </w:p>
    <w:p>
      <w:pPr>
        <w:pStyle w:val="3"/>
        <w:rPr>
          <w:rFonts w:hint="eastAsia"/>
          <w:highlight w:val="none"/>
        </w:rPr>
      </w:pPr>
      <w:bookmarkStart w:id="9" w:name="_Toc3739"/>
      <w:r>
        <w:rPr>
          <w:rFonts w:hint="eastAsia"/>
          <w:highlight w:val="none"/>
          <w:lang w:val="en-US" w:eastAsia="zh-CN"/>
        </w:rPr>
        <w:t>1、</w:t>
      </w:r>
      <w:r>
        <w:rPr>
          <w:rFonts w:hint="eastAsia"/>
          <w:highlight w:val="none"/>
        </w:rPr>
        <w:t>原料场</w:t>
      </w:r>
      <w:bookmarkEnd w:id="9"/>
    </w:p>
    <w:p>
      <w:pPr>
        <w:widowControl w:val="0"/>
        <w:wordWrap/>
        <w:adjustRightInd/>
        <w:snapToGrid/>
        <w:spacing w:before="0" w:after="0" w:line="360" w:lineRule="auto"/>
        <w:ind w:left="0" w:leftChars="0" w:right="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原料场设有挡风抑尘墙，减少因风引起的扬尘。</w:t>
      </w:r>
    </w:p>
    <w:p>
      <w:pPr>
        <w:widowControl w:val="0"/>
        <w:wordWrap/>
        <w:adjustRightInd/>
        <w:snapToGrid/>
        <w:spacing w:before="0" w:after="0" w:line="360" w:lineRule="auto"/>
        <w:ind w:left="0" w:leftChars="0" w:right="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原料场内各原/燃料堆设有喷水抑尘设施，以减少二次扬尘。</w:t>
      </w:r>
    </w:p>
    <w:p>
      <w:pPr>
        <w:widowControl w:val="0"/>
        <w:wordWrap/>
        <w:adjustRightInd/>
        <w:snapToGrid/>
        <w:spacing w:before="0" w:after="0" w:line="360" w:lineRule="auto"/>
        <w:ind w:left="0" w:leftChars="0" w:right="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带式输送机上部设有密闭防护罩，以防风吹和物料落差散发扬尘。</w:t>
      </w:r>
    </w:p>
    <w:p>
      <w:pPr>
        <w:widowControl w:val="0"/>
        <w:wordWrap/>
        <w:adjustRightInd/>
        <w:snapToGrid/>
        <w:spacing w:before="0" w:after="0" w:line="360" w:lineRule="auto"/>
        <w:ind w:left="0" w:leftChars="0" w:right="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原料场地下料仓上料过程中产生的粉尘，采用袋式除尘器净化。</w:t>
      </w:r>
    </w:p>
    <w:p>
      <w:pPr>
        <w:pStyle w:val="3"/>
        <w:rPr>
          <w:rFonts w:hint="eastAsia"/>
          <w:highlight w:val="none"/>
        </w:rPr>
      </w:pPr>
      <w:bookmarkStart w:id="10" w:name="_Toc6003"/>
      <w:r>
        <w:rPr>
          <w:rFonts w:hint="eastAsia"/>
          <w:highlight w:val="none"/>
          <w:lang w:val="en-US" w:eastAsia="zh-CN"/>
        </w:rPr>
        <w:t>2、</w:t>
      </w:r>
      <w:r>
        <w:rPr>
          <w:rFonts w:hint="eastAsia"/>
          <w:highlight w:val="none"/>
        </w:rPr>
        <w:t>石灰焙烧</w:t>
      </w:r>
      <w:bookmarkEnd w:id="10"/>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石灰石在上料、转运过程中产生的粉尘，经袋式除尘器净化后排放；冷却后的石灰在输送、破碎、提升、筛分、入库及装车等过程中产生的粉尘，经3套袋式收尘器除尘净化后排放。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预热器、回转窑窑头窑尾、冷却器冷却室、预热器顶部上料转运点产生的粉尘，经2套袋式除尘器净化后，经高烟囱排放，高温石灰在窑头冷却过程中产生的粉尘，并入上述窑尾除尘系统。</w:t>
      </w:r>
    </w:p>
    <w:p>
      <w:pPr>
        <w:pStyle w:val="3"/>
        <w:rPr>
          <w:rFonts w:hint="eastAsia"/>
          <w:highlight w:val="none"/>
        </w:rPr>
      </w:pPr>
      <w:bookmarkStart w:id="11" w:name="_Toc24544"/>
      <w:r>
        <w:rPr>
          <w:rFonts w:hint="eastAsia"/>
          <w:highlight w:val="none"/>
          <w:lang w:val="en-US" w:eastAsia="zh-CN"/>
        </w:rPr>
        <w:t>3、</w:t>
      </w:r>
      <w:r>
        <w:rPr>
          <w:rFonts w:hint="eastAsia"/>
          <w:highlight w:val="none"/>
        </w:rPr>
        <w:t>烧结</w:t>
      </w:r>
      <w:bookmarkEnd w:id="11"/>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烧结机机头烟气为烧结生产过程中最主要的烟尘、SO2和NOx产生源，烟气先经双室四电场静电除尘器净化，除尘后的烟气再经过湿式石灰石-石膏法脱硫，净化后废气由高烟囱排放，烧结机机机头废气中二噁英，通过四电场静电除尘器、湿法脱硫协同处置后，可吸附在颗粒物上从而减少排放量，。</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烧结机机尾产生的含尘废气，采用1台电袋复合除尘器(1电+3布袋)净化，净化后排放。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配料及转运等产生的粉尘，采用1套袋式除尘器净化，净化后废气排放。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燃料破碎产生的粉尘，因其具有爆炸性危险，采用1台防爆型袋式除尘器净化，净化后排放，。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两台烧结机各有一套机头、机尾烟气除尘系统，配料、燃料系统则共用一套除尘系统。</w:t>
      </w:r>
    </w:p>
    <w:p>
      <w:pPr>
        <w:pStyle w:val="3"/>
        <w:rPr>
          <w:rFonts w:hint="eastAsia"/>
          <w:highlight w:val="none"/>
        </w:rPr>
      </w:pPr>
      <w:bookmarkStart w:id="12" w:name="_Toc1006"/>
      <w:r>
        <w:rPr>
          <w:rFonts w:hint="eastAsia"/>
          <w:highlight w:val="none"/>
          <w:lang w:val="en-US" w:eastAsia="zh-CN"/>
        </w:rPr>
        <w:t>4、</w:t>
      </w:r>
      <w:r>
        <w:rPr>
          <w:rFonts w:hint="eastAsia"/>
          <w:highlight w:val="none"/>
        </w:rPr>
        <w:t>焦化</w:t>
      </w:r>
      <w:bookmarkEnd w:id="12"/>
    </w:p>
    <w:p>
      <w:pPr>
        <w:pStyle w:val="4"/>
        <w:rPr>
          <w:rFonts w:hint="eastAsia"/>
          <w:highlight w:val="none"/>
        </w:rPr>
      </w:pPr>
      <w:bookmarkStart w:id="13" w:name="_Toc27957"/>
      <w:r>
        <w:rPr>
          <w:rFonts w:hint="eastAsia"/>
          <w:highlight w:val="none"/>
          <w:lang w:val="en-US" w:eastAsia="zh-CN"/>
        </w:rPr>
        <w:t>4.1</w:t>
      </w:r>
      <w:r>
        <w:rPr>
          <w:rFonts w:hint="eastAsia"/>
          <w:highlight w:val="none"/>
        </w:rPr>
        <w:t>备煤工段</w:t>
      </w:r>
      <w:bookmarkEnd w:id="13"/>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煤转运站、粉碎机室及运煤通廊等建/构筑物采用密闭结构，有效避免煤尘外逸。同时在各扬尘场所采用水喷抑尘，防止煤尘逸散造成二次污染。</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为消除煤在预粉碎、粉碎过程中产生的煤尘，设有2套袋式除尘器，净化后废气分别由2座高烟囱排放。</w:t>
      </w:r>
    </w:p>
    <w:p>
      <w:pPr>
        <w:pStyle w:val="4"/>
        <w:rPr>
          <w:rFonts w:hint="eastAsia"/>
          <w:highlight w:val="none"/>
        </w:rPr>
      </w:pPr>
      <w:bookmarkStart w:id="14" w:name="_Toc2234"/>
      <w:r>
        <w:rPr>
          <w:rFonts w:hint="eastAsia"/>
          <w:highlight w:val="none"/>
          <w:lang w:val="en-US" w:eastAsia="zh-CN"/>
        </w:rPr>
        <w:t>4.2</w:t>
      </w:r>
      <w:r>
        <w:rPr>
          <w:rFonts w:hint="eastAsia"/>
          <w:highlight w:val="none"/>
        </w:rPr>
        <w:t>炼焦工段</w:t>
      </w:r>
      <w:bookmarkEnd w:id="14"/>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装煤孔盖采用密封结构，并用特制泥浆密封炉盖与盖座间隙，减少90~95%的烟尘外逸。</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上升管盖、桥管承插口采用水封装置，根据设计值，可减少95%烟尘外逸；上升管根部采用编织石棉绳填塞，特制泥浆封闭，减少90%烟尘外逸。</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采用弹簧刀边炉门、厚炉门框、大保护板，减少炉门热变形程度，有效防止炉门泄漏；采用炭化室压力稳定控制系统，防止炭化室压力过大出现冒烟冒火现象，根据设计值，可减少90</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95%烟尘外逸。</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装煤采用CPS系统，集气管保持微负压，实现无烟装煤。装煤时产生的一部分烟尘通过CPS系统进入负压工作的集气管，另一部分烟尘通过除尘装煤车进入除尘地面站(袋式除尘)净化，净化后废气由高20m烟囱排放。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出焦时产生的烟尘，由设在拦焦机上的吸气罩捕集，经集尘干管送入推焦除尘地面站(袋式除尘)净化，净化后废气由高20m烟囱排放。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焦炉采用高净化后的高、焦混合煤气为燃料，煤气燃烧产生的含SO2、NOx及少量尘烟气由高烟囱排放。</w:t>
      </w:r>
      <w:r>
        <w:rPr>
          <w:rFonts w:hint="eastAsia" w:ascii="宋体" w:hAnsi="宋体" w:eastAsia="宋体" w:cs="宋体"/>
          <w:sz w:val="28"/>
          <w:szCs w:val="28"/>
          <w:highlight w:val="none"/>
          <w:lang w:eastAsia="zh-CN"/>
        </w:rPr>
        <w:t>目前焦炉烟囱正在建设脱硫</w:t>
      </w:r>
      <w:r>
        <w:rPr>
          <w:rFonts w:hint="eastAsia" w:ascii="宋体" w:hAnsi="宋体" w:eastAsia="宋体" w:cs="宋体"/>
          <w:sz w:val="28"/>
          <w:szCs w:val="28"/>
          <w:highlight w:val="none"/>
          <w:lang w:val="en-US" w:eastAsia="zh-CN"/>
        </w:rPr>
        <w:t>-脱硝设施，预计2019年投运。</w:t>
      </w:r>
    </w:p>
    <w:p>
      <w:pPr>
        <w:pStyle w:val="4"/>
        <w:rPr>
          <w:rFonts w:hint="eastAsia"/>
          <w:highlight w:val="none"/>
        </w:rPr>
      </w:pPr>
      <w:bookmarkStart w:id="15" w:name="_Toc26894"/>
      <w:r>
        <w:rPr>
          <w:rFonts w:hint="eastAsia"/>
          <w:highlight w:val="none"/>
          <w:lang w:val="en-US" w:eastAsia="zh-CN"/>
        </w:rPr>
        <w:t>4.3</w:t>
      </w:r>
      <w:r>
        <w:rPr>
          <w:rFonts w:hint="eastAsia"/>
          <w:highlight w:val="none"/>
        </w:rPr>
        <w:t>熄焦工段</w:t>
      </w:r>
      <w:bookmarkEnd w:id="15"/>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采用干法熄焦工艺，在干熄罐顶部装焦处、罐底出焦处、出焦口胶带、循环风机放散口处设置烟尘捕集装置，产生的烟尘经收集后送至干熄焦地面除尘站(袋式除尘)净化，净化后废气由高烟囱排放。</w:t>
      </w:r>
    </w:p>
    <w:p>
      <w:pPr>
        <w:pStyle w:val="4"/>
        <w:rPr>
          <w:rFonts w:hint="eastAsia"/>
          <w:highlight w:val="none"/>
        </w:rPr>
      </w:pPr>
      <w:bookmarkStart w:id="16" w:name="_Toc17561"/>
      <w:r>
        <w:rPr>
          <w:rFonts w:hint="eastAsia"/>
          <w:highlight w:val="none"/>
          <w:lang w:val="en-US" w:eastAsia="zh-CN"/>
        </w:rPr>
        <w:t>4.4</w:t>
      </w:r>
      <w:r>
        <w:rPr>
          <w:rFonts w:hint="eastAsia"/>
          <w:highlight w:val="none"/>
        </w:rPr>
        <w:t>煤气净化工段</w:t>
      </w:r>
      <w:bookmarkEnd w:id="16"/>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对于煤气净化系统产生的各类废气，首先通过采用先进的工艺流程及设备，从根本上加以控制和治理，其次是采取必要的治理措施：</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煤气脱硫采用KXTT技术，煤气H</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S含量可由2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9g/m</w:t>
      </w:r>
      <w:r>
        <w:rPr>
          <w:rFonts w:hint="eastAsia" w:ascii="宋体" w:hAnsi="宋体" w:eastAsia="宋体" w:cs="宋体"/>
          <w:sz w:val="28"/>
          <w:szCs w:val="28"/>
          <w:highlight w:val="none"/>
          <w:vertAlign w:val="superscript"/>
        </w:rPr>
        <w:t>3</w:t>
      </w:r>
      <w:r>
        <w:rPr>
          <w:rFonts w:hint="eastAsia" w:ascii="宋体" w:hAnsi="宋体" w:eastAsia="宋体" w:cs="宋体"/>
          <w:sz w:val="28"/>
          <w:szCs w:val="28"/>
          <w:highlight w:val="none"/>
        </w:rPr>
        <w:t>降到100mg/m</w:t>
      </w:r>
      <w:r>
        <w:rPr>
          <w:rFonts w:hint="eastAsia" w:ascii="宋体" w:hAnsi="宋体" w:eastAsia="宋体" w:cs="宋体"/>
          <w:sz w:val="28"/>
          <w:szCs w:val="28"/>
          <w:highlight w:val="none"/>
          <w:vertAlign w:val="superscript"/>
        </w:rPr>
        <w:t>3</w:t>
      </w:r>
      <w:r>
        <w:rPr>
          <w:rFonts w:hint="eastAsia" w:ascii="宋体" w:hAnsi="宋体" w:eastAsia="宋体" w:cs="宋体"/>
          <w:sz w:val="28"/>
          <w:szCs w:val="28"/>
          <w:highlight w:val="none"/>
        </w:rPr>
        <w:t>，净化后废气由高烟囱排放。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对于煤气净化系统的各类设备，采用密闭结构以防止其废气泄漏。</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冷凝鼓风工段各槽类设备等放散气体集中接入负压煤气管道，不外排。</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粗苯蒸馏工段各油槽分离器和设备管道放散管排出的放散气体集中接入负压煤气管道，不外排。</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硫铵工段干燥系统排放的尾气，经旋风除尘+湿式洗涤两级净化后排放。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各贮槽放散管排出的放散气体集中接入负压煤气管道，不外排。</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粗苯管式炉燃烧高、焦混合煤气产生的含SO</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、NOx及少量尘的烟气，经高烟囱排放。</w:t>
      </w:r>
    </w:p>
    <w:p>
      <w:pPr>
        <w:pStyle w:val="4"/>
        <w:rPr>
          <w:rFonts w:hint="eastAsia"/>
          <w:highlight w:val="none"/>
        </w:rPr>
      </w:pPr>
      <w:bookmarkStart w:id="17" w:name="_Toc15575"/>
      <w:r>
        <w:rPr>
          <w:rFonts w:hint="eastAsia"/>
          <w:highlight w:val="none"/>
          <w:lang w:val="en-US" w:eastAsia="zh-CN"/>
        </w:rPr>
        <w:t>4.5</w:t>
      </w:r>
      <w:r>
        <w:rPr>
          <w:rFonts w:hint="eastAsia"/>
          <w:highlight w:val="none"/>
        </w:rPr>
        <w:t>筛焦工段</w:t>
      </w:r>
      <w:bookmarkEnd w:id="17"/>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焦炭在筛分、转运、贮存过程中产生的焦尘，采用1套袋式除尘器净化，净化后废气由高烟囱排放</w:t>
      </w:r>
      <w:r>
        <w:rPr>
          <w:rFonts w:hint="eastAsia" w:ascii="宋体" w:hAnsi="宋体" w:eastAsia="宋体" w:cs="宋体"/>
          <w:sz w:val="28"/>
          <w:szCs w:val="28"/>
          <w:highlight w:val="none"/>
          <w:lang w:eastAsia="zh-CN"/>
        </w:rPr>
        <w:t>。</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焦转运站及运焦通廊采用封闭设计，可避免焦尘外逸造成污染。</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此外，为减少炉门、集气管、装煤孔等处泄漏的烟尘、SO</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BaP等有害物质，还设置了1套焦炉装煤、出焦过程中逸散烟尘的收集处理装置，即在2座焦炉顶部设置2个烟气收集装置，将其收集到的含尘烟气通过除尘管道送入除尘地面站，经袋式除尘器净化后由高烟囱排放。该套净化装置的烟尘捕集率约为65%，可有效降低BaP等有害物质的排放。</w:t>
      </w:r>
    </w:p>
    <w:p>
      <w:pPr>
        <w:pStyle w:val="3"/>
        <w:rPr>
          <w:rFonts w:hint="eastAsia"/>
        </w:rPr>
      </w:pPr>
      <w:bookmarkStart w:id="18" w:name="_Toc29230"/>
      <w:r>
        <w:rPr>
          <w:rFonts w:hint="eastAsia"/>
          <w:lang w:val="en-US" w:eastAsia="zh-CN"/>
        </w:rPr>
        <w:t>5、</w:t>
      </w:r>
      <w:r>
        <w:rPr>
          <w:rFonts w:hint="eastAsia"/>
        </w:rPr>
        <w:t>炼铁</w:t>
      </w:r>
      <w:bookmarkEnd w:id="18"/>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原、燃料转运站内胶带机在转运过程产生的含尘气体，采用3套袋式除尘器净化，净化后烟气分别经高烟囱排放，。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2座高炉出铁时出铁口、砂口、铁沟、渣沟、摆动流槽等处散发的烟尘，采用排烟罩捕集方式，经袋式除尘器净化后分别由高烟囱排放。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2座高炉炉顶皮带卸料点产生的粉尘，经袋式除尘器净化后分别由高烟囱排放。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2座高炉矿/焦槽槽上及槽下振动筛、称量漏斗、胶带机等受料点设有密闭抽风装置，抽出的含尘废气经袋式除尘器净化后分别由高烟囱排放。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高炉煤气采用干法除尘系统，煤气净化后含尘浓度≤10mg/m3，除供高炉热风炉自用外，其余供其他用户使用。</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2座高炉煤粉制备系统从烟气升温炉至煤粉仓，全部采用负压操作，以避免煤粉外逸污染环境；磨煤过程中产生的煤粉由气力输送进入袋式收粉器，将煤粉分离后进入煤粉仓，净化后气体分别经高烟囱排放。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2座热风炉燃用高炉煤气产生的含SO</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、NOx及少量尘的烟气，分别经高烟囱排放。</w:t>
      </w:r>
    </w:p>
    <w:p>
      <w:pPr>
        <w:pStyle w:val="3"/>
        <w:rPr>
          <w:rFonts w:hint="eastAsia"/>
        </w:rPr>
      </w:pPr>
      <w:bookmarkStart w:id="19" w:name="_Toc31718"/>
      <w:r>
        <w:rPr>
          <w:rFonts w:hint="eastAsia"/>
          <w:lang w:val="en-US" w:eastAsia="zh-CN"/>
        </w:rPr>
        <w:t>6、</w:t>
      </w:r>
      <w:r>
        <w:rPr>
          <w:rFonts w:hint="eastAsia"/>
        </w:rPr>
        <w:t>炼钢</w:t>
      </w:r>
      <w:bookmarkEnd w:id="19"/>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座转炉一次烟气采用LT法干式电除尘净化并回收煤气，即炉内烟气经烟罩捕集后送入汽化冷却烟道，用以回收煤气中的显热，然后经蒸发冷却器喷水降温，再进入圆筒形电除尘器进一步净化，净化后的煤气由风机引出。回收期煤气经冷却塔降温后送入煤气柜贮存，非回收期煤气分别经高放散烟囱点火放散。</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转炉二次烟气采用袋式除尘器净化，净化后烟气由高烟囱排放。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转炉车间三次烟气经屋顶罩收集后采用袋式除尘器净化，净化后烟气由高烟囱排放</w:t>
      </w:r>
      <w:r>
        <w:rPr>
          <w:rFonts w:hint="eastAsia" w:ascii="宋体" w:hAnsi="宋体" w:eastAsia="宋体" w:cs="宋体"/>
          <w:sz w:val="28"/>
          <w:szCs w:val="28"/>
          <w:highlight w:val="none"/>
          <w:lang w:eastAsia="zh-CN"/>
        </w:rPr>
        <w:t>。</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铁水预处理产生的含尘烟气经集气罩捕集后送袋式除尘器净化，净化后烟气分别经高烟囱排放。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拆炉、拆包、连铸中间罐倾翻时产生的瞬时粉尘，经集气罩捕集后并入铁水预处理除尘系统。</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LF精炼产生的烟尘，经集气罩捕集后送袋式除尘器净化，净化后烟气经高烟囱排放。</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转炉辅原料上料系统、地下料仓等产生的粉尘，经集气罩捕集后送精炼炉除尘系统。</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连铸结晶器加保护渣时产生的少量含尘烟气，设专用风机将其引入连铸二冷室，利用二冷室内的大量水雾将其净化后，随二冷水进入沉淀池沉淀。</w:t>
      </w:r>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铁水罐、钢水罐及连铸中间罐烘烤、干燥所用燃料为转炉煤气，由于该煤气已经过除尘净化处理，燃烧废气由厂房天窗外排。</w:t>
      </w:r>
    </w:p>
    <w:p>
      <w:pPr>
        <w:pStyle w:val="3"/>
        <w:rPr>
          <w:rFonts w:hint="eastAsia"/>
        </w:rPr>
      </w:pPr>
      <w:bookmarkStart w:id="20" w:name="_Toc5554"/>
      <w:r>
        <w:rPr>
          <w:rFonts w:hint="eastAsia"/>
          <w:lang w:val="en-US" w:eastAsia="zh-CN"/>
        </w:rPr>
        <w:t>7、</w:t>
      </w:r>
      <w:r>
        <w:rPr>
          <w:rFonts w:hint="eastAsia"/>
        </w:rPr>
        <w:t>轧钢</w:t>
      </w:r>
      <w:bookmarkEnd w:id="20"/>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轧钢各生产线加热炉燃用煤气产生的烟气，分别经高烟囱排放。</w:t>
      </w:r>
    </w:p>
    <w:p>
      <w:pPr>
        <w:pStyle w:val="3"/>
        <w:rPr>
          <w:rFonts w:hint="eastAsia"/>
        </w:rPr>
      </w:pPr>
      <w:bookmarkStart w:id="21" w:name="_Toc18152"/>
      <w:r>
        <w:rPr>
          <w:rFonts w:hint="eastAsia"/>
          <w:lang w:val="en-US" w:eastAsia="zh-CN"/>
        </w:rPr>
        <w:t>8、</w:t>
      </w:r>
      <w:r>
        <w:rPr>
          <w:rFonts w:hint="eastAsia"/>
        </w:rPr>
        <w:t>矿渣微粉生产线</w:t>
      </w:r>
      <w:bookmarkEnd w:id="21"/>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矿渣除铁、皮带转运、立磨、选粉、矿粉转运、汽车散装过程中产生的粉尘，经捕集后送2套袋式除尘器净化，净化后烟气由高烟囱排放。</w:t>
      </w:r>
    </w:p>
    <w:p>
      <w:pPr>
        <w:pStyle w:val="3"/>
        <w:rPr>
          <w:rFonts w:hint="eastAsia"/>
        </w:rPr>
      </w:pPr>
      <w:bookmarkStart w:id="22" w:name="_Toc3367"/>
      <w:r>
        <w:rPr>
          <w:rFonts w:hint="eastAsia"/>
          <w:lang w:val="en-US" w:eastAsia="zh-CN"/>
        </w:rPr>
        <w:t>9、</w:t>
      </w:r>
      <w:r>
        <w:rPr>
          <w:rFonts w:hint="eastAsia"/>
        </w:rPr>
        <w:t>发电站</w:t>
      </w:r>
      <w:bookmarkEnd w:id="22"/>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2台130t/h全燃煤气的高温高压锅炉燃煤气产生的含SO</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、NOx及少量尘的烟气经高烟囱排放；35t/h锅炉烟囱燃煤气产生的含SO</w:t>
      </w:r>
      <w:r>
        <w:rPr>
          <w:rFonts w:hint="eastAsia" w:ascii="宋体" w:hAnsi="宋体" w:eastAsia="宋体" w:cs="宋体"/>
          <w:sz w:val="28"/>
          <w:szCs w:val="28"/>
          <w:highlight w:val="none"/>
          <w:vertAlign w:val="subscript"/>
        </w:rPr>
        <w:t>2</w:t>
      </w:r>
      <w:r>
        <w:rPr>
          <w:rFonts w:hint="eastAsia" w:ascii="宋体" w:hAnsi="宋体" w:eastAsia="宋体" w:cs="宋体"/>
          <w:sz w:val="28"/>
          <w:szCs w:val="28"/>
          <w:highlight w:val="none"/>
        </w:rPr>
        <w:t>、NOx及少量尘的烟气经高烟囱排放。</w:t>
      </w:r>
    </w:p>
    <w:p>
      <w:pPr>
        <w:pStyle w:val="2"/>
        <w:rPr>
          <w:rFonts w:hint="eastAsia"/>
          <w:highlight w:val="none"/>
        </w:rPr>
      </w:pPr>
      <w:bookmarkStart w:id="23" w:name="_Toc27570"/>
      <w:r>
        <w:rPr>
          <w:rFonts w:hint="eastAsia"/>
          <w:highlight w:val="none"/>
          <w:lang w:eastAsia="zh-CN"/>
        </w:rPr>
        <w:t>三、建设项目环境影响评价情况</w:t>
      </w:r>
      <w:bookmarkEnd w:id="23"/>
    </w:p>
    <w:tbl>
      <w:tblPr>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470"/>
        <w:gridCol w:w="2985"/>
        <w:gridCol w:w="2085"/>
        <w:gridCol w:w="2370"/>
      </w:tblGrid>
      <w:tr>
        <w:trPr>
          <w:trHeight w:val="285" w:hRule="atLeast"/>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车间</w:t>
            </w:r>
          </w:p>
        </w:tc>
        <w:tc>
          <w:tcPr>
            <w:tcW w:w="2985"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主要设备</w:t>
            </w:r>
          </w:p>
        </w:tc>
        <w:tc>
          <w:tcPr>
            <w:tcW w:w="2085"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技改项目环评批复</w:t>
            </w:r>
          </w:p>
        </w:tc>
        <w:tc>
          <w:tcPr>
            <w:tcW w:w="2370"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技改项目竣工环保验收</w:t>
            </w:r>
          </w:p>
        </w:tc>
      </w:tr>
      <w:tr>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color w:val="auto"/>
                <w:sz w:val="24"/>
                <w:highlight w:val="none"/>
              </w:rPr>
            </w:pPr>
          </w:p>
        </w:tc>
        <w:tc>
          <w:tcPr>
            <w:tcW w:w="2985" w:type="dxa"/>
            <w:vMerge w:val="continue"/>
            <w:tcBorders>
              <w:top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085" w:type="dxa"/>
            <w:vMerge w:val="continue"/>
            <w:tcBorders>
              <w:top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370" w:type="dxa"/>
            <w:vMerge w:val="continue"/>
            <w:tcBorders>
              <w:top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r>
      <w:tr>
        <w:trPr>
          <w:trHeight w:val="285"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焦化车间</w:t>
            </w:r>
          </w:p>
        </w:tc>
        <w:tc>
          <w:tcPr>
            <w:tcW w:w="29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2×58孔6m焦炉及配套1×150t/h干熄焦装置</w:t>
            </w:r>
          </w:p>
        </w:tc>
        <w:tc>
          <w:tcPr>
            <w:tcW w:w="20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环行审[2016]78号</w:t>
            </w:r>
          </w:p>
        </w:tc>
        <w:tc>
          <w:tcPr>
            <w:tcW w:w="2370"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环验[2017]10号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color w:val="auto"/>
                <w:sz w:val="24"/>
                <w:highlight w:val="none"/>
              </w:rPr>
            </w:pPr>
          </w:p>
        </w:tc>
        <w:tc>
          <w:tcPr>
            <w:tcW w:w="29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0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370"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r>
      <w:tr>
        <w:trPr>
          <w:trHeight w:val="285"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烧结车间</w:t>
            </w:r>
          </w:p>
        </w:tc>
        <w:tc>
          <w:tcPr>
            <w:tcW w:w="29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2×265m</w:t>
            </w:r>
            <w:r>
              <w:rPr>
                <w:rFonts w:hint="eastAsia" w:ascii="宋体" w:hAnsi="宋体" w:eastAsia="宋体" w:cs="宋体"/>
                <w:b w:val="0"/>
                <w:i w:val="0"/>
                <w:color w:val="auto"/>
                <w:sz w:val="22"/>
                <w:highlight w:val="none"/>
                <w:u w:val="none"/>
                <w:vertAlign w:val="superscript"/>
                <w:lang w:eastAsia="zh-CN"/>
              </w:rPr>
              <w:t>2</w:t>
            </w:r>
            <w:r>
              <w:rPr>
                <w:rFonts w:hint="eastAsia" w:ascii="宋体" w:hAnsi="宋体" w:eastAsia="宋体" w:cs="宋体"/>
                <w:b w:val="0"/>
                <w:i w:val="0"/>
                <w:color w:val="auto"/>
                <w:sz w:val="22"/>
                <w:highlight w:val="none"/>
                <w:u w:val="none"/>
                <w:lang w:eastAsia="zh-CN"/>
              </w:rPr>
              <w:t>烧结机</w:t>
            </w:r>
          </w:p>
        </w:tc>
        <w:tc>
          <w:tcPr>
            <w:tcW w:w="20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环行审[2016]79号</w:t>
            </w:r>
          </w:p>
        </w:tc>
        <w:tc>
          <w:tcPr>
            <w:tcW w:w="2370"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环验[2017]11号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color w:val="auto"/>
                <w:sz w:val="24"/>
                <w:highlight w:val="none"/>
              </w:rPr>
            </w:pPr>
          </w:p>
        </w:tc>
        <w:tc>
          <w:tcPr>
            <w:tcW w:w="29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0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370"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r>
      <w:tr>
        <w:trPr>
          <w:trHeight w:val="300" w:hRule="atLeast"/>
        </w:trPr>
        <w:tc>
          <w:tcPr>
            <w:tcW w:w="147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炼铁车间</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2×1280m</w:t>
            </w:r>
            <w:r>
              <w:rPr>
                <w:rFonts w:hint="eastAsia" w:ascii="宋体" w:hAnsi="宋体" w:eastAsia="宋体" w:cs="宋体"/>
                <w:b w:val="0"/>
                <w:i w:val="0"/>
                <w:color w:val="auto"/>
                <w:sz w:val="22"/>
                <w:highlight w:val="none"/>
                <w:u w:val="none"/>
                <w:vertAlign w:val="superscript"/>
                <w:lang w:eastAsia="zh-CN"/>
              </w:rPr>
              <w:t>3</w:t>
            </w:r>
            <w:r>
              <w:rPr>
                <w:rFonts w:hint="eastAsia" w:ascii="宋体" w:hAnsi="宋体" w:eastAsia="宋体" w:cs="宋体"/>
                <w:b w:val="0"/>
                <w:i w:val="0"/>
                <w:color w:val="auto"/>
                <w:sz w:val="22"/>
                <w:highlight w:val="none"/>
                <w:u w:val="none"/>
                <w:lang w:eastAsia="zh-CN"/>
              </w:rPr>
              <w:t>高炉</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环行审[2017]37号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285"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球墨铸铁车间</w:t>
            </w:r>
          </w:p>
        </w:tc>
        <w:tc>
          <w:tcPr>
            <w:tcW w:w="29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1×300t混铁炉、8×15t工频电炉、7台水冷离心机、2台热模法离心机</w:t>
            </w:r>
          </w:p>
        </w:tc>
        <w:tc>
          <w:tcPr>
            <w:tcW w:w="2085"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环内审[2014]20号</w:t>
            </w:r>
          </w:p>
        </w:tc>
        <w:tc>
          <w:tcPr>
            <w:tcW w:w="2370" w:type="dxa"/>
            <w:vMerge w:val="restart"/>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540" w:hRule="atLeast"/>
        </w:trPr>
        <w:tc>
          <w:tcPr>
            <w:tcW w:w="1470" w:type="dxa"/>
            <w:vMerge w:val="continue"/>
            <w:tcBorders>
              <w:left w:val="single" w:color="000000" w:sz="4" w:space="0"/>
              <w:bottom w:val="single" w:color="000000" w:sz="4" w:space="0"/>
              <w:right w:val="single" w:color="000000" w:sz="4" w:space="0"/>
            </w:tcBorders>
            <w:vAlign w:val="center"/>
          </w:tcPr>
          <w:p>
            <w:pPr>
              <w:autoSpaceDN w:val="0"/>
              <w:textAlignment w:val="auto"/>
              <w:rPr>
                <w:rFonts w:hint="eastAsia" w:ascii="宋体" w:hAnsi="宋体" w:eastAsia="宋体" w:cs="宋体"/>
                <w:color w:val="auto"/>
                <w:sz w:val="24"/>
                <w:highlight w:val="none"/>
              </w:rPr>
            </w:pPr>
          </w:p>
        </w:tc>
        <w:tc>
          <w:tcPr>
            <w:tcW w:w="29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085"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370" w:type="dxa"/>
            <w:vMerge w:val="continue"/>
            <w:tcBorders>
              <w:bottom w:val="single" w:color="000000" w:sz="4" w:space="0"/>
              <w:right w:val="single" w:color="000000" w:sz="4" w:space="0"/>
            </w:tcBorders>
            <w:vAlign w:val="center"/>
          </w:tcPr>
          <w:p>
            <w:pPr>
              <w:rPr>
                <w:rFonts w:hint="eastAsia" w:ascii="宋体" w:hAnsi="宋体" w:eastAsia="宋体" w:cs="宋体"/>
                <w:color w:val="auto"/>
                <w:sz w:val="24"/>
                <w:highlight w:val="none"/>
              </w:rPr>
            </w:pPr>
          </w:p>
        </w:tc>
      </w:tr>
      <w:tr>
        <w:trPr>
          <w:trHeight w:val="1080"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炼钢车间</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2×120t转炉、1×120tLF炉、1×120tRH真空精炼装置、1×10机10流方坯连铸机、1×4机4流圆坯连铸机</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环行审[2017]37号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810"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1×10机10流方坯连铸机、1×6机6流特殊钢圆坯连铸机</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环内审[2017]109号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环验[2017]200号</w:t>
            </w:r>
          </w:p>
        </w:tc>
      </w:tr>
      <w:tr>
        <w:trPr>
          <w:trHeight w:val="285"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轧钢车间</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1条小棒材生产线</w:t>
            </w:r>
          </w:p>
        </w:tc>
        <w:tc>
          <w:tcPr>
            <w:tcW w:w="2085" w:type="dxa"/>
            <w:vMerge w:val="restart"/>
            <w:tcBorders>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环行审[2017]37号</w:t>
            </w:r>
          </w:p>
        </w:tc>
        <w:tc>
          <w:tcPr>
            <w:tcW w:w="2370" w:type="dxa"/>
            <w:vMerge w:val="restart"/>
            <w:tcBorders>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1条大棒材生产线</w:t>
            </w:r>
          </w:p>
        </w:tc>
        <w:tc>
          <w:tcPr>
            <w:tcW w:w="2085" w:type="dxa"/>
            <w:vMerge w:val="continue"/>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p>
        </w:tc>
        <w:tc>
          <w:tcPr>
            <w:tcW w:w="2370" w:type="dxa"/>
            <w:vMerge w:val="continue"/>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1条中棒材生产线</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环内审[2017]110号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环验[2017]201号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1条精品线材生产线</w:t>
            </w:r>
          </w:p>
        </w:tc>
        <w:tc>
          <w:tcPr>
            <w:tcW w:w="2085" w:type="dxa"/>
            <w:vMerge w:val="restart"/>
            <w:tcBorders>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环行审[2017]37号</w:t>
            </w:r>
          </w:p>
        </w:tc>
        <w:tc>
          <w:tcPr>
            <w:tcW w:w="2370" w:type="dxa"/>
            <w:vMerge w:val="restart"/>
            <w:tcBorders>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1条普通线材生产线</w:t>
            </w:r>
          </w:p>
        </w:tc>
        <w:tc>
          <w:tcPr>
            <w:tcW w:w="2085" w:type="dxa"/>
            <w:vMerge w:val="continue"/>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p>
        </w:tc>
        <w:tc>
          <w:tcPr>
            <w:tcW w:w="2370" w:type="dxa"/>
            <w:vMerge w:val="continue"/>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p>
        </w:tc>
      </w:tr>
      <w:tr>
        <w:trPr>
          <w:trHeight w:val="285" w:hRule="atLeast"/>
        </w:trPr>
        <w:tc>
          <w:tcPr>
            <w:tcW w:w="147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石灰窑</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2×400t/d回转窑</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环行审[2017]37号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环验[2017]123号</w:t>
            </w:r>
          </w:p>
        </w:tc>
      </w:tr>
      <w:tr>
        <w:trPr>
          <w:trHeight w:val="285" w:hRule="atLeast"/>
        </w:trPr>
        <w:tc>
          <w:tcPr>
            <w:tcW w:w="1470"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渣处理</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矿渣微粉生产线</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环内审[2017]111号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环验[2017]199号</w:t>
            </w:r>
          </w:p>
        </w:tc>
      </w:tr>
      <w:tr>
        <w:trPr>
          <w:trHeight w:val="1350" w:hRule="atLeast"/>
        </w:trPr>
        <w:tc>
          <w:tcPr>
            <w:tcW w:w="147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发电站</w:t>
            </w: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2×130t/h高温高压全燃煤气锅炉、配套2×25MW抽凝机组、1×25MW纯凝机组、3×30MW抽凝式汽轮发电机组</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环内审[2015]281号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环验[2017]70号</w:t>
            </w:r>
          </w:p>
        </w:tc>
      </w:tr>
      <w:tr>
        <w:trPr>
          <w:trHeight w:val="285" w:hRule="atLeast"/>
        </w:trPr>
        <w:tc>
          <w:tcPr>
            <w:tcW w:w="147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highlight w:val="none"/>
              </w:rPr>
            </w:pPr>
          </w:p>
        </w:tc>
        <w:tc>
          <w:tcPr>
            <w:tcW w:w="29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1×35t/h燃煤气锅炉</w:t>
            </w:r>
          </w:p>
        </w:tc>
        <w:tc>
          <w:tcPr>
            <w:tcW w:w="2085"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环内审[2017]108号</w:t>
            </w:r>
          </w:p>
        </w:tc>
        <w:tc>
          <w:tcPr>
            <w:tcW w:w="2370" w:type="dxa"/>
            <w:tcBorders>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auto"/>
                <w:sz w:val="22"/>
                <w:highlight w:val="none"/>
                <w:u w:val="none"/>
                <w:lang w:eastAsia="zh-CN"/>
              </w:rPr>
            </w:pPr>
            <w:r>
              <w:rPr>
                <w:rFonts w:hint="eastAsia" w:ascii="宋体" w:hAnsi="宋体" w:eastAsia="宋体" w:cs="宋体"/>
                <w:b w:val="0"/>
                <w:i w:val="0"/>
                <w:color w:val="auto"/>
                <w:sz w:val="22"/>
                <w:highlight w:val="none"/>
                <w:u w:val="none"/>
                <w:lang w:eastAsia="zh-CN"/>
              </w:rPr>
              <w:t>环验[2017]198号</w:t>
            </w:r>
          </w:p>
        </w:tc>
      </w:tr>
    </w:tbl>
    <w:p>
      <w:pPr>
        <w:numPr>
          <w:numId w:val="0"/>
        </w:numPr>
        <w:spacing w:line="360" w:lineRule="auto"/>
        <w:rPr>
          <w:rFonts w:hint="eastAsia" w:ascii="宋体" w:hAnsi="宋体" w:eastAsia="宋体" w:cs="宋体"/>
          <w:sz w:val="28"/>
          <w:szCs w:val="28"/>
          <w:highlight w:val="none"/>
          <w:lang w:val="en-US" w:eastAsia="zh-CN"/>
        </w:rPr>
      </w:pPr>
    </w:p>
    <w:p>
      <w:pPr>
        <w:pStyle w:val="2"/>
        <w:rPr>
          <w:rFonts w:hint="eastAsia"/>
          <w:highlight w:val="none"/>
          <w:lang w:eastAsia="zh-CN"/>
        </w:rPr>
      </w:pPr>
      <w:r>
        <w:rPr>
          <w:rFonts w:hint="eastAsia"/>
          <w:highlight w:val="none"/>
          <w:lang w:eastAsia="zh-CN"/>
        </w:rPr>
        <w:t xml:space="preserve"> </w:t>
      </w:r>
      <w:bookmarkStart w:id="24" w:name="_Toc16236"/>
      <w:r>
        <w:rPr>
          <w:rFonts w:hint="eastAsia"/>
          <w:highlight w:val="none"/>
          <w:lang w:eastAsia="zh-CN"/>
        </w:rPr>
        <w:t>四、突发环境事件应急预案</w:t>
      </w:r>
      <w:bookmarkEnd w:id="24"/>
    </w:p>
    <w:p>
      <w:pPr>
        <w:widowControl w:val="0"/>
        <w:wordWrap/>
        <w:adjustRightInd/>
        <w:snapToGrid/>
        <w:spacing w:before="0" w:after="0" w:line="360" w:lineRule="auto"/>
        <w:ind w:left="0" w:leftChars="0" w:right="0" w:firstLine="720" w:firstLineChars="200"/>
        <w:textAlignment w:val="auto"/>
        <w:outlineLvl w:val="9"/>
        <w:rPr>
          <w:rFonts w:hint="eastAsia" w:ascii="宋体" w:hAnsi="宋体" w:eastAsia="宋体" w:cs="宋体"/>
          <w:highlight w:val="none"/>
        </w:rPr>
      </w:pPr>
      <w:r>
        <w:rPr>
          <w:rFonts w:hint="eastAsia" w:ascii="宋体" w:hAnsi="宋体" w:eastAsia="宋体" w:cs="宋体"/>
          <w:sz w:val="28"/>
          <w:szCs w:val="28"/>
          <w:highlight w:val="none"/>
        </w:rPr>
        <w:t>我公司结合可能存在突发烟气未经处理排入大气造成大气污染事故，突发废水未经处理直接排放造成水体污染事故的环境安全隐患，制订了《突发环境事件应急预案》，成立了应急领导小组，有针对性的编制了各类突发环境事件的应急处理程序和措施。</w:t>
      </w:r>
      <w:r>
        <w:rPr>
          <w:rFonts w:hint="eastAsia" w:ascii="宋体" w:hAnsi="宋体" w:eastAsia="宋体" w:cs="宋体"/>
          <w:sz w:val="28"/>
          <w:szCs w:val="28"/>
          <w:highlight w:val="none"/>
          <w:lang w:eastAsia="zh-CN"/>
        </w:rPr>
        <w:t>预案文件于</w:t>
      </w:r>
      <w:r>
        <w:rPr>
          <w:rFonts w:hint="eastAsia" w:ascii="宋体" w:hAnsi="宋体" w:eastAsia="宋体" w:cs="宋体"/>
          <w:sz w:val="28"/>
          <w:szCs w:val="28"/>
          <w:highlight w:val="none"/>
          <w:lang w:val="en-US" w:eastAsia="zh-CN"/>
        </w:rPr>
        <w:t>2018年1月18日在芜湖市环保局备案，备案文号为：340208-2018-001-M。</w:t>
      </w:r>
    </w:p>
    <w:p>
      <w:pPr>
        <w:widowControl w:val="0"/>
        <w:wordWrap/>
        <w:adjustRightInd/>
        <w:snapToGrid/>
        <w:spacing w:before="0" w:after="0" w:line="240" w:lineRule="auto"/>
        <w:ind w:left="0" w:leftChars="0" w:right="0" w:firstLine="720" w:firstLineChars="200"/>
        <w:jc w:val="both"/>
        <w:textAlignment w:val="auto"/>
        <w:outlineLvl w:val="9"/>
        <w:rPr>
          <w:rFonts w:hint="eastAsia" w:ascii="宋体" w:hAnsi="宋体" w:eastAsia="宋体" w:cs="宋体"/>
          <w:highlight w:val="none"/>
        </w:rPr>
      </w:pPr>
      <w:bookmarkStart w:id="25" w:name="_Hlk498635665"/>
      <w:r>
        <w:rPr>
          <w:rFonts w:hint="eastAsia" w:ascii="宋体" w:hAnsi="宋体" w:eastAsia="宋体" w:cs="宋体"/>
          <w:highlight w:val="none"/>
          <w:lang w:val="en-US" w:eastAsia="zh-CN" w:bidi="ar-SA"/>
        </w:rPr>
        <w:pict>
          <v:shape id="图片 2" o:spid="_x0000_s1027" alt="C:\Users\wuml\AppData\Roaming\Tencent\Users\1563655764\QQ\WinTemp\RichOle\]~CR0EI0ZOD{VQ(%}CWZRN6.png" type="#_x0000_t75" style="height:304.8pt;width:398.95pt;rotation:0f;" o:ole="f" fillcolor="#FFFFFF" filled="f" o:preferrelative="t" stroked="f" coordorigin="0,0" coordsize="21600,21600">
            <v:fill on="f" color2="#FFFFFF" focus="0%"/>
            <v:imagedata gain="65536f" blacklevel="0f" gamma="0" o:title="]~CR0EI0ZOD{VQ(%}CWZRN6" r:id="rId9"/>
            <o:lock v:ext="edit" position="f" selection="f" grouping="f" rotation="f" cropping="f" text="f" aspectratio="t"/>
            <w10:wrap type="none"/>
            <w10:anchorlock/>
          </v:shape>
        </w:pict>
      </w:r>
      <w:bookmarkEnd w:id="25"/>
    </w:p>
    <w:p>
      <w:pPr>
        <w:widowControl w:val="0"/>
        <w:wordWrap/>
        <w:adjustRightInd/>
        <w:snapToGrid/>
        <w:spacing w:before="0" w:after="0" w:line="360" w:lineRule="auto"/>
        <w:ind w:left="0" w:leftChars="0" w:right="0" w:firstLine="720" w:firstLineChars="200"/>
        <w:jc w:val="center"/>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应急组织机构</w:t>
      </w:r>
    </w:p>
    <w:p>
      <w:pPr>
        <w:widowControl w:val="0"/>
        <w:wordWrap/>
        <w:adjustRightInd/>
        <w:snapToGrid/>
        <w:spacing w:before="0" w:after="0" w:line="240" w:lineRule="auto"/>
        <w:ind w:left="0" w:leftChars="0" w:right="0" w:firstLine="720" w:firstLineChars="200"/>
        <w:jc w:val="center"/>
        <w:textAlignment w:val="auto"/>
        <w:outlineLvl w:val="9"/>
        <w:rPr>
          <w:rFonts w:hint="eastAsia" w:ascii="宋体" w:hAnsi="宋体" w:eastAsia="宋体" w:cs="宋体"/>
          <w:sz w:val="28"/>
          <w:szCs w:val="28"/>
          <w:highlight w:val="none"/>
        </w:rPr>
      </w:pPr>
    </w:p>
    <w:p>
      <w:pPr>
        <w:numPr>
          <w:numId w:val="0"/>
        </w:numPr>
        <w:spacing w:line="360" w:lineRule="auto"/>
        <w:rPr>
          <w:rFonts w:hint="eastAsia" w:ascii="宋体" w:hAnsi="宋体" w:eastAsia="宋体" w:cs="宋体"/>
          <w:highlight w:val="none"/>
        </w:rPr>
      </w:pPr>
    </w:p>
    <w:p>
      <w:pPr>
        <w:pStyle w:val="2"/>
        <w:rPr>
          <w:rFonts w:hint="eastAsia"/>
          <w:highlight w:val="none"/>
          <w:lang w:eastAsia="zh-CN"/>
        </w:rPr>
      </w:pPr>
      <w:bookmarkStart w:id="26" w:name="_Toc11422"/>
      <w:r>
        <w:rPr>
          <w:rFonts w:hint="eastAsia"/>
          <w:highlight w:val="none"/>
          <w:lang w:eastAsia="zh-CN"/>
        </w:rPr>
        <w:t>五、内部环境管理情况</w:t>
      </w:r>
      <w:bookmarkEnd w:id="26"/>
    </w:p>
    <w:p>
      <w:pPr>
        <w:pStyle w:val="3"/>
        <w:rPr>
          <w:rFonts w:hint="eastAsia"/>
          <w:highlight w:val="none"/>
          <w:lang w:eastAsia="zh-CN"/>
        </w:rPr>
      </w:pPr>
      <w:bookmarkStart w:id="27" w:name="_Toc18586"/>
      <w:r>
        <w:rPr>
          <w:rFonts w:hint="eastAsia"/>
          <w:highlight w:val="none"/>
          <w:lang w:val="en-US" w:eastAsia="zh-CN"/>
        </w:rPr>
        <w:t>1、</w:t>
      </w:r>
      <w:r>
        <w:rPr>
          <w:rFonts w:hint="eastAsia"/>
          <w:highlight w:val="none"/>
        </w:rPr>
        <w:t>环境</w:t>
      </w:r>
      <w:r>
        <w:rPr>
          <w:rFonts w:hint="eastAsia"/>
          <w:highlight w:val="none"/>
          <w:lang w:eastAsia="zh-CN"/>
        </w:rPr>
        <w:t>管理体制和制度</w:t>
      </w:r>
      <w:bookmarkEnd w:id="27"/>
    </w:p>
    <w:p>
      <w:pPr>
        <w:widowControl w:val="0"/>
        <w:wordWrap/>
        <w:adjustRightInd/>
        <w:snapToGrid/>
        <w:spacing w:before="0" w:after="0" w:line="24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公司设立环保能源部，全面负责公司的环保工作，各生产部门内部设立独立的环保管理体系。目前，公司共有专职环保管理员1</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w:t>
      </w:r>
    </w:p>
    <w:p>
      <w:pPr>
        <w:widowControl w:val="0"/>
        <w:wordWrap/>
        <w:adjustRightInd/>
        <w:snapToGrid/>
        <w:spacing w:before="0" w:after="0" w:line="24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公司还编制了一系列的环境管理文件，具体制定有《环境保护管理制度》、《</w:t>
      </w:r>
      <w:r>
        <w:rPr>
          <w:rFonts w:hint="eastAsia" w:ascii="宋体" w:hAnsi="宋体" w:eastAsia="宋体" w:cs="宋体"/>
          <w:sz w:val="28"/>
          <w:szCs w:val="28"/>
          <w:highlight w:val="none"/>
          <w:lang w:eastAsia="zh-CN"/>
        </w:rPr>
        <w:t>环保教育</w:t>
      </w:r>
      <w:r>
        <w:rPr>
          <w:rFonts w:hint="eastAsia" w:ascii="宋体" w:hAnsi="宋体" w:eastAsia="宋体" w:cs="宋体"/>
          <w:sz w:val="28"/>
          <w:szCs w:val="28"/>
          <w:highlight w:val="none"/>
        </w:rPr>
        <w:t>制度》、《</w:t>
      </w:r>
      <w:r>
        <w:rPr>
          <w:rFonts w:hint="eastAsia" w:ascii="宋体" w:hAnsi="宋体" w:eastAsia="宋体" w:cs="宋体"/>
          <w:sz w:val="28"/>
          <w:szCs w:val="28"/>
          <w:highlight w:val="none"/>
          <w:lang w:eastAsia="zh-CN"/>
        </w:rPr>
        <w:t>危险废物管理制度</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生产给排水管理制度</w:t>
      </w:r>
      <w:r>
        <w:rPr>
          <w:rFonts w:hint="eastAsia" w:ascii="宋体" w:hAnsi="宋体" w:eastAsia="宋体" w:cs="宋体"/>
          <w:sz w:val="28"/>
          <w:szCs w:val="28"/>
          <w:highlight w:val="none"/>
        </w:rPr>
        <w:t>》等，使公司环境管理有依据，工作有程序，监督有保障。</w:t>
      </w:r>
    </w:p>
    <w:p>
      <w:pPr>
        <w:pStyle w:val="3"/>
        <w:rPr>
          <w:rFonts w:hint="eastAsia"/>
          <w:highlight w:val="none"/>
        </w:rPr>
      </w:pPr>
      <w:bookmarkStart w:id="28" w:name="_Toc13280"/>
      <w:r>
        <w:rPr>
          <w:rFonts w:hint="eastAsia"/>
          <w:highlight w:val="none"/>
          <w:lang w:val="en-US" w:eastAsia="zh-CN"/>
        </w:rPr>
        <w:t>2、</w:t>
      </w:r>
      <w:r>
        <w:rPr>
          <w:rFonts w:hint="eastAsia"/>
          <w:highlight w:val="none"/>
        </w:rPr>
        <w:t>环境管理体系认证情况</w:t>
      </w:r>
      <w:bookmarkEnd w:id="28"/>
    </w:p>
    <w:p>
      <w:pPr>
        <w:widowControl w:val="0"/>
        <w:wordWrap/>
        <w:adjustRightInd/>
        <w:snapToGrid/>
        <w:spacing w:before="0" w:after="0" w:line="24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公司注重环保科学管理，建立多项环保管理制度，环境管理体系符合GB/T24001-20</w:t>
      </w:r>
      <w:r>
        <w:rPr>
          <w:rFonts w:hint="eastAsia" w:ascii="宋体" w:hAnsi="宋体" w:cs="宋体"/>
          <w:sz w:val="28"/>
          <w:szCs w:val="28"/>
          <w:highlight w:val="none"/>
          <w:lang w:val="en-US" w:eastAsia="zh-CN"/>
        </w:rPr>
        <w:t>16</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ISO14001：20</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rPr>
        <w:t>的要求，201</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15日通过认证</w:t>
      </w:r>
      <w:r>
        <w:rPr>
          <w:rFonts w:hint="eastAsia" w:ascii="宋体" w:hAnsi="宋体" w:eastAsia="宋体" w:cs="宋体"/>
          <w:sz w:val="28"/>
          <w:szCs w:val="28"/>
          <w:highlight w:val="none"/>
        </w:rPr>
        <w:t>，覆盖范围：</w:t>
      </w:r>
      <w:r>
        <w:rPr>
          <w:rFonts w:hint="eastAsia" w:ascii="宋体" w:hAnsi="宋体" w:eastAsia="宋体" w:cs="宋体"/>
          <w:sz w:val="28"/>
          <w:szCs w:val="28"/>
          <w:highlight w:val="none"/>
          <w:lang w:eastAsia="zh-CN"/>
        </w:rPr>
        <w:t>离心球墨铸铁管、钢铁冶炼及压延加工、铸造制品、煤化产品（焦炭、焦油、粗苯）的生产与销售</w:t>
      </w:r>
      <w:r>
        <w:rPr>
          <w:rFonts w:hint="eastAsia" w:ascii="宋体" w:hAnsi="宋体" w:cs="宋体"/>
          <w:sz w:val="28"/>
          <w:szCs w:val="28"/>
          <w:highlight w:val="none"/>
          <w:lang w:eastAsia="zh-CN"/>
        </w:rPr>
        <w:t>的全过程</w:t>
      </w:r>
      <w:r>
        <w:rPr>
          <w:rFonts w:hint="eastAsia" w:ascii="宋体" w:hAnsi="宋体" w:eastAsia="宋体" w:cs="宋体"/>
          <w:sz w:val="28"/>
          <w:szCs w:val="28"/>
          <w:highlight w:val="none"/>
        </w:rPr>
        <w:t>。</w:t>
      </w:r>
    </w:p>
    <w:p>
      <w:pPr>
        <w:pStyle w:val="3"/>
        <w:rPr>
          <w:rFonts w:hint="eastAsia"/>
          <w:highlight w:val="none"/>
          <w:lang w:val="en-US" w:eastAsia="zh-CN"/>
        </w:rPr>
      </w:pPr>
      <w:bookmarkStart w:id="29" w:name="_Toc13964"/>
      <w:r>
        <w:rPr>
          <w:rFonts w:hint="eastAsia"/>
          <w:highlight w:val="none"/>
          <w:lang w:val="en-US" w:eastAsia="zh-CN"/>
        </w:rPr>
        <w:t>3、环境保护规划</w:t>
      </w:r>
      <w:bookmarkEnd w:id="29"/>
    </w:p>
    <w:p>
      <w:pPr>
        <w:widowControl w:val="0"/>
        <w:wordWrap/>
        <w:adjustRightInd/>
        <w:snapToGrid/>
        <w:spacing w:before="0" w:after="0" w:line="24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公司制定了“2018-2020年”绿色发展专项规划，计划投资20余亿元，</w:t>
      </w:r>
      <w:r>
        <w:rPr>
          <w:rFonts w:hint="eastAsia" w:ascii="宋体" w:hAnsi="宋体" w:eastAsia="宋体" w:cs="宋体"/>
          <w:sz w:val="28"/>
          <w:szCs w:val="28"/>
          <w:highlight w:val="none"/>
        </w:rPr>
        <w:t>通过环保设施的效率提升和项目化技术改造，全面升级废气（包括有组织及无组织）、废水、固废等污染控制水平，满足越发严格的法律法规、排放标准、污染物许可要求；废水治理和固废资源的项目实施，形成行业前瞻性环保技术储备；通过消除可视污染、资源回馈、厂群互动等提高当地群众的环境认同度，创建和谐共生的社企关系。</w:t>
      </w:r>
    </w:p>
    <w:p>
      <w:pPr>
        <w:pStyle w:val="2"/>
        <w:rPr>
          <w:rFonts w:hint="eastAsia"/>
          <w:highlight w:val="none"/>
          <w:lang w:eastAsia="zh-CN"/>
        </w:rPr>
      </w:pPr>
      <w:bookmarkStart w:id="30" w:name="_Toc6777"/>
      <w:r>
        <w:rPr>
          <w:rFonts w:hint="eastAsia"/>
          <w:highlight w:val="none"/>
          <w:lang w:eastAsia="zh-CN"/>
        </w:rPr>
        <w:t>六、环境信息公开情况</w:t>
      </w:r>
      <w:bookmarkEnd w:id="30"/>
    </w:p>
    <w:p>
      <w:pPr>
        <w:widowControl w:val="0"/>
        <w:wordWrap/>
        <w:adjustRightInd/>
        <w:snapToGrid/>
        <w:spacing w:before="0" w:after="0" w:line="240" w:lineRule="auto"/>
        <w:ind w:left="0" w:leftChars="0" w:right="0" w:firstLine="72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公司建有互联网站，企业的相关环境信息及时在网站上公开发布。</w:t>
      </w:r>
    </w:p>
    <w:p>
      <w:pPr>
        <w:numPr>
          <w:numId w:val="0"/>
        </w:numPr>
        <w:spacing w:line="360" w:lineRule="auto"/>
        <w:rPr>
          <w:rFonts w:hint="eastAsia" w:ascii="宋体" w:hAnsi="宋体" w:eastAsia="宋体" w:cs="宋体"/>
          <w:b w:val="0"/>
          <w:i w:val="0"/>
          <w:color w:val="000000"/>
          <w:sz w:val="28"/>
          <w:szCs w:val="28"/>
          <w:highlight w:val="none"/>
          <w:shd w:val="clear" w:color="auto" w:fill="FFFFFF"/>
          <w:lang w:eastAsia="zh-CN"/>
        </w:rPr>
      </w:pPr>
    </w:p>
    <w:sectPr>
      <w:headerReference r:id="rId6" w:type="default"/>
      <w:footerReference r:id="rId7" w:type="default"/>
      <w:pgSz w:w="11906" w:h="16838"/>
      <w:pgMar w:top="1701" w:right="1701" w:bottom="1134" w:left="1701" w:header="851" w:footer="992" w:gutter="0"/>
      <w:paperSrc w:first="0" w:other="0"/>
      <w:pgBorders>
        <w:top w:val="none" w:color="auto" w:sz="0" w:space="0"/>
        <w:left w:val="none" w:color="auto" w:sz="0" w:space="0"/>
        <w:bottom w:val="none" w:color="auto" w:sz="0" w:space="0"/>
        <w:right w:val="none" w:color="auto" w:sz="0" w:space="0"/>
      </w:pgBorders>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Cambria Math">
    <w:panose1 w:val="02040503050406030204"/>
    <w:charset w:val="00"/>
    <w:family w:val="auto"/>
    <w:pitch w:val="default"/>
    <w:sig w:usb0="A00002EF" w:usb1="420020EB" w:usb2="00000000" w:usb3="00000000" w:csb0="2000009F" w:csb1="00000000"/>
  </w:font>
  <w:font w:name="Cambria">
    <w:panose1 w:val="02040503050406030204"/>
    <w:charset w:val="00"/>
    <w:family w:val="auto"/>
    <w:pitch w:val="default"/>
    <w:sig w:usb0="A00002EF" w:usb1="4000004B" w:usb2="00000000" w:usb3="00000000" w:csb0="2000009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仿宋">
    <w:altName w:val="仿宋_GB2312"/>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 w:name="Wingdings 2">
    <w:panose1 w:val="05020102010507070707"/>
    <w:charset w:val="02"/>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387" w:usb1="40000013" w:usb2="00000000" w:usb3="00000000" w:csb0="2000019F" w:csb1="00000000"/>
  </w:font>
  <w:font w:name="方正大黑简体">
    <w:altName w:val="黑体"/>
    <w:panose1 w:val="03000509000000000000"/>
    <w:charset w:val="86"/>
    <w:family w:val="auto"/>
    <w:pitch w:val="default"/>
    <w:sig w:usb0="00000001" w:usb1="080E0000" w:usb2="00000010" w:usb3="00000000" w:csb0="00040000" w:csb1="00000000"/>
  </w:font>
  <w:font w:name="方正魏碑简体">
    <w:altName w:val="宋体"/>
    <w:panose1 w:val="03000509000000000000"/>
    <w:charset w:val="86"/>
    <w:family w:val="auto"/>
    <w:pitch w:val="default"/>
    <w:sig w:usb0="00000001" w:usb1="080E0000" w:usb2="00000010" w:usb3="00000000" w:csb0="00040000" w:csb1="00000000"/>
  </w:font>
  <w:font w:name="Microsoft JhengHei">
    <w:altName w:val="PMingLiU"/>
    <w:panose1 w:val="020B0604030504040204"/>
    <w:charset w:val="88"/>
    <w:family w:val="auto"/>
    <w:pitch w:val="default"/>
    <w:sig w:usb0="00000087" w:usb1="288F4000" w:usb2="00000016" w:usb3="00000000" w:csb0="00100009" w:csb1="00000000"/>
  </w:font>
  <w:font w:name="Verdana">
    <w:panose1 w:val="020B0604030504040204"/>
    <w:charset w:val="00"/>
    <w:family w:val="auto"/>
    <w:pitch w:val="default"/>
    <w:sig w:usb0="00000287"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_x000B__x000C_">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 w:name="仿宋体">
    <w:altName w:val="宋体"/>
    <w:panose1 w:val="02010600000101010101"/>
    <w:charset w:val="86"/>
    <w:family w:val="auto"/>
    <w:pitch w:val="default"/>
    <w:sig w:usb0="00000001" w:usb1="080E0000" w:usb2="00000010" w:usb3="00000000" w:csb0="00040000" w:csb1="00000000"/>
  </w:font>
  <w:font w:name="微软简魏碑">
    <w:altName w:val="黑体"/>
    <w:panose1 w:val="00000000000000000000"/>
    <w:charset w:val="86"/>
    <w:family w:val="auto"/>
    <w:pitch w:val="default"/>
    <w:sig w:usb0="00000001" w:usb1="080E0000" w:usb2="00000010" w:usb3="00000000" w:csb0="00040000"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黑体">
    <w:altName w:val="宋体"/>
    <w:panose1 w:val="00000000000000000000"/>
    <w:charset w:val="86"/>
    <w:family w:val="auto"/>
    <w:pitch w:val="default"/>
    <w:sig w:usb0="00000001" w:usb1="080E0000" w:usb2="00000000" w:usb3="00000000" w:csb0="00040000" w:csb1="00000000"/>
  </w:font>
  <w:font w:name="汉仪仿宋简">
    <w:altName w:val="宋体"/>
    <w:panose1 w:val="00000000000000000000"/>
    <w:charset w:val="01"/>
    <w:family w:val="auto"/>
    <w:pitch w:val="default"/>
    <w:sig w:usb0="00000000" w:usb1="00000000" w:usb2="00000000" w:usb3="00000000" w:csb0="00040001" w:csb1="00000000"/>
  </w:font>
  <w:font w:name="汉仪大宋简">
    <w:altName w:val="宋体"/>
    <w:panose1 w:val="00000000000000000000"/>
    <w:charset w:val="86"/>
    <w:family w:val="auto"/>
    <w:pitch w:val="default"/>
    <w:sig w:usb0="00000001" w:usb1="080E0800" w:usb2="00000012" w:usb3="00000000" w:csb0="00040000" w:csb1="00000000"/>
  </w:font>
  <w:font w:name="长城楷体">
    <w:altName w:val="宋体"/>
    <w:panose1 w:val="00000000000000000000"/>
    <w:charset w:val="86"/>
    <w:family w:val="auto"/>
    <w:pitch w:val="default"/>
    <w:sig w:usb0="00000001" w:usb1="080E0000" w:usb2="00000010" w:usb3="00000000" w:csb0="00040000" w:csb1="00000000"/>
  </w:font>
  <w:font w:name="等线">
    <w:altName w:val="Arial Unicode MS"/>
    <w:panose1 w:val="02010600030101010101"/>
    <w:charset w:val="86"/>
    <w:family w:val="auto"/>
    <w:pitch w:val="default"/>
    <w:sig w:usb0="00000000" w:usb1="38CF7CFA" w:usb2="00000016" w:usb3="00000000" w:csb0="0004000F" w:csb1="00000000"/>
  </w:font>
  <w:font w:name="FangSong">
    <w:altName w:val="Arial Unicode MS"/>
    <w:panose1 w:val="00000000000000000000"/>
    <w:charset w:val="86"/>
    <w:family w:val="auto"/>
    <w:pitch w:val="default"/>
    <w:sig w:usb0="00000000" w:usb1="38CF7CFA" w:usb2="00000016" w:usb3="00000000" w:csb0="00040001" w:csb1="00000000"/>
  </w:font>
  <w:font w:name="MS Song">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Times New Roman" w:hAnsi="Times New Roman" w:eastAsia="宋体" w:cs="Times New Roman"/>
        <w:sz w:val="18"/>
        <w:lang w:val="en-US" w:eastAsia="zh-CN" w:bidi="ar-SA"/>
      </w:rPr>
      <w:pict>
        <v:shape id="文本框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top w:val="none" w:color="auto" w:sz="0" w:space="0"/>
        <w:left w:val="none" w:color="auto" w:sz="0" w:space="0"/>
        <w:bottom w:val="none" w:color="auto" w:sz="0" w:space="0"/>
        <w:right w:val="none" w:color="auto" w:sz="0" w:space="0"/>
      </w:pBdr>
      <w:rPr>
        <w:rFonts w:ascii="宋体"/>
        <w:sz w:val="21"/>
        <w:szCs w:val="21"/>
      </w:rPr>
    </w:pPr>
    <w:r>
      <w:rPr>
        <w:rFonts w:ascii="Times New Roman" w:hAnsi="Times New Roman" w:eastAsia="宋体" w:cs="Times New Roman"/>
        <w:sz w:val="21"/>
        <w:lang w:val="en-US" w:eastAsia="zh-CN" w:bidi="ar-SA"/>
      </w:rPr>
      <w:pict>
        <v:shape id="文本框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宋体" w:cs="Times New Roman"/>
      <w:lang w:val="en-US" w:eastAsia="zh-CN" w:bidi="ar-SA"/>
    </w:rPr>
  </w:style>
  <w:style w:type="paragraph" w:styleId="2">
    <w:name w:val="heading 1"/>
    <w:basedOn w:val="1"/>
    <w:next w:val="1"/>
    <w:pPr>
      <w:keepNext/>
      <w:keepLines/>
      <w:spacing w:before="340" w:beforeAutospacing="0" w:after="330" w:afterAutospacing="0" w:line="240" w:lineRule="auto"/>
      <w:outlineLvl w:val="0"/>
    </w:pPr>
    <w:rPr>
      <w:rFonts w:eastAsia="宋体"/>
      <w:b/>
      <w:kern w:val="44"/>
      <w:sz w:val="30"/>
    </w:rPr>
  </w:style>
  <w:style w:type="paragraph" w:styleId="3">
    <w:name w:val="heading 2"/>
    <w:basedOn w:val="1"/>
    <w:next w:val="1"/>
    <w:pPr>
      <w:keepNext/>
      <w:keepLines/>
      <w:spacing w:before="260" w:beforeAutospacing="0" w:after="260" w:afterAutospacing="0" w:line="240" w:lineRule="auto"/>
      <w:outlineLvl w:val="1"/>
    </w:pPr>
    <w:rPr>
      <w:rFonts w:ascii="Arial" w:hAnsi="Arial" w:eastAsia="宋体"/>
      <w:sz w:val="28"/>
    </w:rPr>
  </w:style>
  <w:style w:type="paragraph" w:styleId="4">
    <w:name w:val="heading 3"/>
    <w:basedOn w:val="1"/>
    <w:next w:val="1"/>
    <w:pPr>
      <w:keepNext/>
      <w:keepLines/>
      <w:spacing w:before="260" w:after="260" w:line="240" w:lineRule="auto"/>
      <w:outlineLvl w:val="2"/>
    </w:pPr>
    <w:rPr>
      <w:rFonts w:eastAsia="宋体"/>
      <w:bCs/>
      <w:kern w:val="2"/>
      <w:sz w:val="28"/>
      <w:szCs w:val="32"/>
    </w:rPr>
  </w:style>
  <w:style w:type="character" w:default="1" w:styleId="16">
    <w:name w:val="Default Paragraph Font"/>
  </w:style>
  <w:style w:type="paragraph" w:styleId="5">
    <w:name w:val="toc 7"/>
    <w:basedOn w:val="1"/>
    <w:next w:val="1"/>
    <w:pPr>
      <w:ind w:left="2520" w:leftChars="1200"/>
    </w:pPr>
  </w:style>
  <w:style w:type="paragraph" w:styleId="6">
    <w:name w:val="toc 5"/>
    <w:basedOn w:val="1"/>
    <w:next w:val="1"/>
    <w:pPr>
      <w:ind w:left="1680" w:leftChars="800"/>
    </w:pPr>
  </w:style>
  <w:style w:type="paragraph" w:styleId="7">
    <w:name w:val="toc 3"/>
    <w:basedOn w:val="1"/>
    <w:next w:val="1"/>
    <w:pPr>
      <w:ind w:left="840" w:leftChars="400"/>
    </w:pPr>
  </w:style>
  <w:style w:type="paragraph" w:styleId="8">
    <w:name w:val="toc 8"/>
    <w:basedOn w:val="1"/>
    <w:next w:val="1"/>
    <w:pPr>
      <w:ind w:left="2940" w:leftChars="1400"/>
    </w:pPr>
  </w:style>
  <w:style w:type="paragraph" w:styleId="9">
    <w:name w:val="footer"/>
    <w:basedOn w:val="1"/>
    <w:pPr>
      <w:tabs>
        <w:tab w:val="center" w:pos="4153"/>
        <w:tab w:val="right" w:pos="8306"/>
      </w:tabs>
      <w:snapToGrid w:val="0"/>
      <w:jc w:val="left"/>
    </w:pPr>
    <w:rPr>
      <w:sz w:val="18"/>
    </w:rPr>
  </w:style>
  <w:style w:type="paragraph" w:styleId="10">
    <w:name w:val="header"/>
    <w:basedOn w:val="1"/>
    <w:pPr>
      <w:pBdr>
        <w:bottom w:val="single" w:color="auto" w:sz="6" w:space="1"/>
      </w:pBdr>
      <w:tabs>
        <w:tab w:val="center" w:pos="4153"/>
        <w:tab w:val="right" w:pos="8306"/>
      </w:tabs>
      <w:spacing w:line="240" w:lineRule="auto"/>
      <w:ind w:firstLine="0" w:firstLineChars="0"/>
      <w:jc w:val="left"/>
    </w:pPr>
    <w:rPr>
      <w:rFonts w:eastAsia="宋体"/>
      <w:kern w:val="2"/>
      <w:sz w:val="18"/>
      <w:szCs w:val="18"/>
    </w:rPr>
  </w:style>
  <w:style w:type="paragraph" w:styleId="11">
    <w:name w:val="toc 1"/>
    <w:basedOn w:val="1"/>
    <w:next w:val="1"/>
  </w:style>
  <w:style w:type="paragraph" w:styleId="12">
    <w:name w:val="toc 4"/>
    <w:basedOn w:val="1"/>
    <w:next w:val="1"/>
    <w:pPr>
      <w:ind w:left="1260" w:leftChars="600"/>
    </w:pPr>
  </w:style>
  <w:style w:type="paragraph" w:styleId="13">
    <w:name w:val="toc 6"/>
    <w:basedOn w:val="1"/>
    <w:next w:val="1"/>
    <w:pPr>
      <w:ind w:left="2100" w:leftChars="1000"/>
    </w:pPr>
  </w:style>
  <w:style w:type="paragraph" w:styleId="14">
    <w:name w:val="toc 2"/>
    <w:basedOn w:val="1"/>
    <w:next w:val="1"/>
    <w:pPr>
      <w:ind w:left="420" w:leftChars="200"/>
    </w:pPr>
  </w:style>
  <w:style w:type="paragraph" w:styleId="15">
    <w:name w:val="toc 9"/>
    <w:basedOn w:val="1"/>
    <w:next w:val="1"/>
    <w:pPr>
      <w:ind w:left="3360" w:leftChars="1600"/>
    </w:pPr>
  </w:style>
  <w:style w:type="paragraph" w:customStyle="1" w:styleId="17">
    <w:name w:val="表格"/>
    <w:basedOn w:val="1"/>
    <w:pPr>
      <w:spacing w:line="240" w:lineRule="auto"/>
      <w:ind w:firstLine="0" w:firstLineChars="0"/>
      <w:jc w:val="center"/>
    </w:pPr>
    <w:rPr>
      <w:rFonts w:eastAsia="仿宋_GB2312"/>
      <w:kern w:val="2"/>
      <w:sz w:val="21"/>
      <w:szCs w:val="21"/>
    </w:rPr>
  </w:style>
  <w:style w:type="character" w:customStyle="1" w:styleId="18">
    <w:name w:val="Page Number1"/>
    <w:basedOn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2019-02-20T05:48:00Z</dcterms:created>
  <dcterms:modified xsi:type="dcterms:W3CDTF">2019-03-01T10:58:23Z</dcterms:modified>
  <dc:title>基础信息，包括单位名称、组织机构代码、法定代表人、生产地址、联系方式，以及生产经营和管理服务的主要内容、产品及规模；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